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Calibri" w:hAnsi="Calibri" w:eastAsia="Calibri"/>
          <w:b/>
          <w:color w:val="2E74B5"/>
          <w:sz w:val="36"/>
        </w:rPr>
        <w:t>Recovery &amp; Load - Coach Notes v1</w:t>
      </w:r>
    </w:p>
    <w:p>
      <w:pPr>
        <w:spacing w:after="200"/>
      </w:pPr>
      <w:r>
        <w:rPr>
          <w:rFonts w:ascii="Calibri" w:hAnsi="Calibri" w:eastAsia="Calibri"/>
          <w:b w:val="0"/>
          <w:color w:val="4B5563"/>
          <w:sz w:val="22"/>
        </w:rPr>
        <w:t>Snabb coachmall för att styra belastning, återhämtning och kommunikation i GlobeIce Academy.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181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alibri" w:hAnsi="Calibri" w:eastAsia="Calibri"/>
                <w:b/>
                <w:color w:val="1F4D78"/>
                <w:sz w:val="20"/>
              </w:rPr>
              <w:t>Falt</w:t>
            </w:r>
          </w:p>
        </w:tc>
        <w:tc>
          <w:tcPr>
            <w:tcW w:type="dxa" w:w="7370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alibri" w:hAnsi="Calibri" w:eastAsia="Calibri"/>
                <w:b/>
                <w:color w:val="1F4D78"/>
                <w:sz w:val="20"/>
              </w:rPr>
              <w:t>Coach notes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Syfte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Ge coachen ett enkelt dagligt beslutsstöd för RPE, sömn, soreness och röda flaggor.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Användning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Fyll i före pass, uppdatera direkt efter pass och lyft avvikelser på coachmöte samma dag.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Download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Public path: /downloads/coach/coach_recovery_v1.docx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Version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v1.0 - launch seed for Academy and coach pack pilots.</w:t>
            </w:r>
          </w:p>
        </w:tc>
      </w:tr>
    </w:tbl>
    <w:p>
      <w:pPr>
        <w:pStyle w:val="Heading1"/>
      </w:pPr>
      <w:r>
        <w:t>5 nyckelpunkter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Bedöm dagsform innan intensitet: sömn, energi, stress och soreness får styra första beslutet.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RPE x minuter ger en enkel intern belastning som alla coacher kan logga utan extra teknik.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Jämför dagens svar mot spelarens egen normalnivå, inte mot laget som helhet.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Vid flera gula signaler: korta byten, sänk totalvolym och följ upp efter passet.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Vid röd flagga: stoppa auto-progression och skicka till ansvarig medicinsk eller rehab-kontakt.</w:t>
      </w:r>
    </w:p>
    <w:p>
      <w:pPr>
        <w:pStyle w:val="Heading1"/>
      </w:pPr>
      <w:r>
        <w:t>Coachbeslut pa 60 sekunder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181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alibri" w:hAnsi="Calibri" w:eastAsia="Calibri"/>
                <w:b/>
                <w:color w:val="1F4D78"/>
                <w:sz w:val="20"/>
              </w:rPr>
              <w:t>Falt</w:t>
            </w:r>
          </w:p>
        </w:tc>
        <w:tc>
          <w:tcPr>
            <w:tcW w:type="dxa" w:w="7370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alibri" w:hAnsi="Calibri" w:eastAsia="Calibri"/>
                <w:b/>
                <w:color w:val="1F4D78"/>
                <w:sz w:val="20"/>
              </w:rPr>
              <w:t>Coach notes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Grönt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Normal dagsform, RPE inom plan och ingen nytillkommen smärta. Kör planerat pass.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Gult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Sömnbrist, hög stress, tydlig trötthet eller soreness. Sänk intensitet eller byt roll.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Rött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Ny skada, neurologiska symptom, akut smärta, yrsel eller kraftigt HRV/RPE-avvik. Stoppa och eskalera.</w:t>
            </w:r>
          </w:p>
        </w:tc>
      </w:tr>
    </w:tbl>
    <w:p>
      <w:pPr>
        <w:pStyle w:val="Heading1"/>
      </w:pPr>
      <w:r>
        <w:t>7-dagars mini-logg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720"/>
        <w:gridCol w:w="1720"/>
        <w:gridCol w:w="1720"/>
        <w:gridCol w:w="1720"/>
        <w:gridCol w:w="1720"/>
        <w:gridCol w:w="1720"/>
      </w:tblGrid>
      <w:tr>
        <w:tc>
          <w:tcPr>
            <w:tcW w:type="dxa" w:w="113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18"/>
              </w:rPr>
              <w:t>Dag</w:t>
            </w:r>
          </w:p>
        </w:tc>
        <w:tc>
          <w:tcPr>
            <w:tcW w:type="dxa" w:w="1361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18"/>
              </w:rPr>
              <w:t>Somn 1-5</w:t>
            </w:r>
          </w:p>
        </w:tc>
        <w:tc>
          <w:tcPr>
            <w:tcW w:type="dxa" w:w="1361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18"/>
              </w:rPr>
              <w:t>Energi 1-5</w:t>
            </w:r>
          </w:p>
        </w:tc>
        <w:tc>
          <w:tcPr>
            <w:tcW w:type="dxa" w:w="1361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18"/>
              </w:rPr>
              <w:t>RPE</w:t>
            </w:r>
          </w:p>
        </w:tc>
        <w:tc>
          <w:tcPr>
            <w:tcW w:type="dxa" w:w="181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18"/>
              </w:rPr>
              <w:t>Beslut</w:t>
            </w:r>
          </w:p>
        </w:tc>
        <w:tc>
          <w:tcPr>
            <w:tcW w:type="dxa" w:w="249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18"/>
              </w:rPr>
              <w:t>Notering</w:t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Man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Tis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Ons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Tor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Fre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6F8FB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Lor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  <w:tr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Son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  <w:t>Grönt / Gult / Rött</w:t>
            </w:r>
          </w:p>
        </w:tc>
        <w:tc>
          <w:tcPr>
            <w:tcW w:type="dxa" w:w="17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Calibri" w:hAnsi="Calibri" w:eastAsia="Calibri"/>
                <w:b w:val="0"/>
                <w:color w:val="222222"/>
                <w:sz w:val="18"/>
              </w:rPr>
            </w:r>
          </w:p>
        </w:tc>
      </w:tr>
    </w:tbl>
    <w:p>
      <w:pPr>
        <w:pStyle w:val="Heading1"/>
      </w:pPr>
      <w:r>
        <w:t>Röda flaggor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Huvudtrauma, nytillkommen yrsel, förvirring, synstörning eller illamående.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Akut ljumske/höft/knä/axel-smärta som ändrar åkteknik eller skyddsbeteende.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Feber, infektionstecken eller systemisk sjukdomskänsla.</w:t>
      </w:r>
    </w:p>
    <w:p>
      <w:pPr>
        <w:pStyle w:val="ListBullet"/>
        <w:spacing w:after="80" w:line="300" w:lineRule="auto"/>
      </w:pPr>
      <w:r>
        <w:rPr>
          <w:rFonts w:ascii="Calibri" w:hAnsi="Calibri" w:eastAsia="Calibri"/>
          <w:b w:val="0"/>
          <w:color w:val="222222"/>
          <w:sz w:val="22"/>
        </w:rPr>
        <w:t>Tre pass i rad med tydlig negativ trend i RPE, sömn eller soreness.</w:t>
      </w:r>
    </w:p>
    <w:p>
      <w:pPr>
        <w:pStyle w:val="Heading1"/>
      </w:pPr>
      <w:r>
        <w:t>Feeder-falt for senare import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181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alibri" w:hAnsi="Calibri" w:eastAsia="Calibri"/>
                <w:b/>
                <w:color w:val="1F4D78"/>
                <w:sz w:val="20"/>
              </w:rPr>
              <w:t>Falt</w:t>
            </w:r>
          </w:p>
        </w:tc>
        <w:tc>
          <w:tcPr>
            <w:tcW w:type="dxa" w:w="7370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alibri" w:hAnsi="Calibri" w:eastAsia="Calibri"/>
                <w:b/>
                <w:color w:val="1F4D78"/>
                <w:sz w:val="20"/>
              </w:rPr>
              <w:t>Coach notes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module_id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academy_recovery_load_coach_notes_v1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audience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coach, academy, specialidrott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metrics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sleep_score, energy_score, soreness_score, session_rpe, minutes</w:t>
            </w:r>
          </w:p>
        </w:tc>
      </w:tr>
      <w:tr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0"/>
              </w:rPr>
              <w:t>action</w:t>
            </w:r>
          </w:p>
        </w:tc>
        <w:tc>
          <w:tcPr>
            <w:tcW w:type="dxa" w:w="5159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 w:val="0"/>
                <w:color w:val="222222"/>
                <w:sz w:val="20"/>
              </w:rPr>
              <w:t>normal, reduce_intensity, shorten_shifts, medical_ping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Calibri"/>
        <w:b w:val="0"/>
        <w:color w:val="666666"/>
        <w:sz w:val="16"/>
      </w:rPr>
      <w:t>GlobeIce Academy | Recovery &amp; Load Coach Notes v1 | Internal coach use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Calibri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contextualSpacing/>
    </w:pPr>
    <w:rPr>
      <w:rFonts w:ascii="Calibri" w:hAnsi="Calibri" w:eastAsia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contextualSpacing/>
    </w:pPr>
    <w:rPr>
      <w:rFonts w:ascii="Calibri" w:hAnsi="Calibri" w:eastAsia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&amp; Load - Coach Notes v1</dc:title>
  <dc:subject>GlobeIce Academy coach recovery and load reference</dc:subject>
  <dc:creator>GlobeIce</dc:creator>
  <cp:keywords>GlobeIce, Academy, recovery, load, coach notes, RPE</cp:keywords>
  <dc:description>Generated by scripts/docs/build-recovery-load-coach-notes.py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