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Ispass - mall för Specialidrott Ishockey</w:t>
      </w:r>
    </w:p>
    <w:p>
      <w:pPr>
        <w:pStyle w:val="Heading1"/>
      </w:pPr>
      <w:r>
        <w:t>JSON‑metadata</w:t>
      </w:r>
    </w:p>
    <w:p>
      <w:r>
        <w:rPr>
          <w:rFonts w:ascii="Consolas" w:hAnsi="Consolas"/>
          <w:sz w:val="17"/>
        </w:rPr>
        <w:t>{</w:t>
        <w:br/>
      </w:r>
      <w:r>
        <w:rPr>
          <w:rFonts w:ascii="Consolas" w:hAnsi="Consolas"/>
          <w:sz w:val="17"/>
        </w:rPr>
        <w:t xml:space="preserve">  "lektionstitel": "Ispass - Puckkontroll &amp; snabba omstallningar",</w:t>
        <w:br/>
      </w:r>
      <w:r>
        <w:rPr>
          <w:rFonts w:ascii="Consolas" w:hAnsi="Consolas"/>
          <w:sz w:val="17"/>
        </w:rPr>
        <w:t xml:space="preserve">  "kursram": "Specialidrott Ishockey / Tranings- och tavlingslara / Tavlingslara",</w:t>
        <w:br/>
      </w:r>
      <w:r>
        <w:rPr>
          <w:rFonts w:ascii="Consolas" w:hAnsi="Consolas"/>
          <w:sz w:val="17"/>
        </w:rPr>
        <w:t xml:space="preserve">  "course_lanes": [</w:t>
        <w:br/>
      </w:r>
      <w:r>
        <w:rPr>
          <w:rFonts w:ascii="Consolas" w:hAnsi="Consolas"/>
          <w:sz w:val="17"/>
        </w:rPr>
        <w:t xml:space="preserve">    "specialidrott-ishockey",</w:t>
        <w:br/>
      </w:r>
      <w:r>
        <w:rPr>
          <w:rFonts w:ascii="Consolas" w:hAnsi="Consolas"/>
          <w:sz w:val="17"/>
        </w:rPr>
        <w:t xml:space="preserve">    "tranings-och-tavlingslara",</w:t>
        <w:br/>
      </w:r>
      <w:r>
        <w:rPr>
          <w:rFonts w:ascii="Consolas" w:hAnsi="Consolas"/>
          <w:sz w:val="17"/>
        </w:rPr>
        <w:t xml:space="preserve">    "tavlingslara"</w:t>
        <w:br/>
      </w:r>
      <w:r>
        <w:rPr>
          <w:rFonts w:ascii="Consolas" w:hAnsi="Consolas"/>
          <w:sz w:val="17"/>
        </w:rPr>
        <w:t xml:space="preserve">  ],</w:t>
        <w:br/>
      </w:r>
      <w:r>
        <w:rPr>
          <w:rFonts w:ascii="Consolas" w:hAnsi="Consolas"/>
          <w:sz w:val="17"/>
        </w:rPr>
        <w:t xml:space="preserve">  "excluded_lanes": [</w:t>
        <w:br/>
      </w:r>
      <w:r>
        <w:rPr>
          <w:rFonts w:ascii="Consolas" w:hAnsi="Consolas"/>
          <w:sz w:val="17"/>
        </w:rPr>
        <w:t xml:space="preserve">    "idrott-och-halsa"</w:t>
        <w:br/>
      </w:r>
      <w:r>
        <w:rPr>
          <w:rFonts w:ascii="Consolas" w:hAnsi="Consolas"/>
          <w:sz w:val="17"/>
        </w:rPr>
        <w:t xml:space="preserve">  ],</w:t>
        <w:br/>
      </w:r>
      <w:r>
        <w:rPr>
          <w:rFonts w:ascii="Consolas" w:hAnsi="Consolas"/>
          <w:sz w:val="17"/>
        </w:rPr>
        <w:t xml:space="preserve">  "aldersgrupp": "Gymnasiet",</w:t>
        <w:br/>
      </w:r>
      <w:r>
        <w:rPr>
          <w:rFonts w:ascii="Consolas" w:hAnsi="Consolas"/>
          <w:sz w:val="17"/>
        </w:rPr>
        <w:t xml:space="preserve">  "duration_variants_min": [</w:t>
        <w:br/>
      </w:r>
      <w:r>
        <w:rPr>
          <w:rFonts w:ascii="Consolas" w:hAnsi="Consolas"/>
          <w:sz w:val="17"/>
        </w:rPr>
        <w:t xml:space="preserve">    60,</w:t>
        <w:br/>
      </w:r>
      <w:r>
        <w:rPr>
          <w:rFonts w:ascii="Consolas" w:hAnsi="Consolas"/>
          <w:sz w:val="17"/>
        </w:rPr>
        <w:t xml:space="preserve">    75,</w:t>
        <w:br/>
      </w:r>
      <w:r>
        <w:rPr>
          <w:rFonts w:ascii="Consolas" w:hAnsi="Consolas"/>
          <w:sz w:val="17"/>
        </w:rPr>
        <w:t xml:space="preserve">    90</w:t>
        <w:br/>
      </w:r>
      <w:r>
        <w:rPr>
          <w:rFonts w:ascii="Consolas" w:hAnsi="Consolas"/>
          <w:sz w:val="17"/>
        </w:rPr>
        <w:t xml:space="preserve">  ],</w:t>
        <w:br/>
      </w:r>
      <w:r>
        <w:rPr>
          <w:rFonts w:ascii="Consolas" w:hAnsi="Consolas"/>
          <w:sz w:val="17"/>
        </w:rPr>
        <w:t xml:space="preserve">  "feeder_upsert": {</w:t>
        <w:br/>
      </w:r>
      <w:r>
        <w:rPr>
          <w:rFonts w:ascii="Consolas" w:hAnsi="Consolas"/>
          <w:sz w:val="17"/>
        </w:rPr>
        <w:t xml:space="preserve">    "target": "academy_practice_template",</w:t>
        <w:br/>
      </w:r>
      <w:r>
        <w:rPr>
          <w:rFonts w:ascii="Consolas" w:hAnsi="Consolas"/>
          <w:sz w:val="17"/>
        </w:rPr>
        <w:t xml:space="preserve">    "routing": "specialidrott_training_theory",</w:t>
        <w:br/>
      </w:r>
      <w:r>
        <w:rPr>
          <w:rFonts w:ascii="Consolas" w:hAnsi="Consolas"/>
          <w:sz w:val="17"/>
        </w:rPr>
        <w:t xml:space="preserve">    "pulse_key": "academy/practice-template"</w:t>
        <w:br/>
      </w:r>
      <w:r>
        <w:rPr>
          <w:rFonts w:ascii="Consolas" w:hAnsi="Consolas"/>
          <w:sz w:val="17"/>
        </w:rPr>
        <w:t xml:space="preserve">  },</w:t>
        <w:br/>
      </w:r>
      <w:r>
        <w:rPr>
          <w:rFonts w:ascii="Consolas" w:hAnsi="Consolas"/>
          <w:sz w:val="17"/>
        </w:rPr>
        <w:t xml:space="preserve">  "created_utc": "2026-05-26T21:35:25Z"</w:t>
        <w:br/>
      </w:r>
      <w:r>
        <w:rPr>
          <w:rFonts w:ascii="Consolas" w:hAnsi="Consolas"/>
          <w:sz w:val="17"/>
        </w:rPr>
        <w:t>}</w:t>
      </w:r>
    </w:p>
    <w:p>
      <w:pPr>
        <w:pStyle w:val="IntenseQuote"/>
      </w:pPr>
      <w:r>
        <w:t>Kursram: Specialidrott Ishockey, tränings- och tävlingslära och tävlingslära. Materialet ska bara routas till dessa kursbanor i GlobeIce.</w:t>
      </w:r>
    </w:p>
    <w:p>
      <w:pPr>
        <w:pStyle w:val="Heading1"/>
      </w:pPr>
      <w:r>
        <w:t>Coach brief</w:t>
      </w:r>
    </w:p>
    <w:p>
      <w:r>
        <w:t>Syfte: utveckla puckkontroll i fart och snabba omställningar.</w:t>
      </w:r>
    </w:p>
    <w:p>
      <w:r>
        <w:t>Fokus: hög aktivitet, korta instruktioner och tydliga coachingpunkter.</w:t>
      </w:r>
    </w:p>
    <w:p>
      <w:pPr>
        <w:pStyle w:val="Heading1"/>
      </w:pPr>
      <w:r>
        <w:t>Tidslinje – 60 minuter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Tid</w:t>
            </w:r>
          </w:p>
        </w:tc>
        <w:tc>
          <w:tcPr>
            <w:tcW w:type="dxa" w:w="2880"/>
          </w:tcPr>
          <w:p>
            <w:r>
              <w:t>Moment</w:t>
            </w:r>
          </w:p>
        </w:tc>
        <w:tc>
          <w:tcPr>
            <w:tcW w:type="dxa" w:w="2880"/>
          </w:tcPr>
          <w:p>
            <w:r>
              <w:t>Coachingpunkt</w:t>
            </w:r>
          </w:p>
        </w:tc>
      </w:tr>
      <w:tr>
        <w:tc>
          <w:tcPr>
            <w:tcW w:type="dxa" w:w="2880"/>
          </w:tcPr>
          <w:p>
            <w:r>
              <w:t>00–05</w:t>
            </w:r>
          </w:p>
        </w:tc>
        <w:tc>
          <w:tcPr>
            <w:tcW w:type="dxa" w:w="2880"/>
          </w:tcPr>
          <w:p>
            <w:r>
              <w:t>Samling &amp; säkerhet</w:t>
            </w:r>
          </w:p>
        </w:tc>
        <w:tc>
          <w:tcPr>
            <w:tcW w:type="dxa" w:w="2880"/>
          </w:tcPr>
          <w:p>
            <w:r>
              <w:t>Tydliga signaler</w:t>
            </w:r>
          </w:p>
        </w:tc>
      </w:tr>
      <w:tr>
        <w:tc>
          <w:tcPr>
            <w:tcW w:type="dxa" w:w="2880"/>
          </w:tcPr>
          <w:p>
            <w:r>
              <w:t>05–12</w:t>
            </w:r>
          </w:p>
        </w:tc>
        <w:tc>
          <w:tcPr>
            <w:tcW w:type="dxa" w:w="2880"/>
          </w:tcPr>
          <w:p>
            <w:r>
              <w:t>Uppvärmning med puck</w:t>
            </w:r>
          </w:p>
        </w:tc>
        <w:tc>
          <w:tcPr>
            <w:tcW w:type="dxa" w:w="2880"/>
          </w:tcPr>
          <w:p>
            <w:r>
              <w:t>Huvud upp</w:t>
            </w:r>
          </w:p>
        </w:tc>
      </w:tr>
      <w:tr>
        <w:tc>
          <w:tcPr>
            <w:tcW w:type="dxa" w:w="2880"/>
          </w:tcPr>
          <w:p>
            <w:r>
              <w:t>12–22</w:t>
            </w:r>
          </w:p>
        </w:tc>
        <w:tc>
          <w:tcPr>
            <w:tcW w:type="dxa" w:w="2880"/>
          </w:tcPr>
          <w:p>
            <w:r>
              <w:t>Teknikstationer</w:t>
            </w:r>
          </w:p>
        </w:tc>
        <w:tc>
          <w:tcPr>
            <w:tcW w:type="dxa" w:w="2880"/>
          </w:tcPr>
          <w:p>
            <w:r>
              <w:t>Tempo före svårighet</w:t>
            </w:r>
          </w:p>
        </w:tc>
      </w:tr>
      <w:tr>
        <w:tc>
          <w:tcPr>
            <w:tcW w:type="dxa" w:w="2880"/>
          </w:tcPr>
          <w:p>
            <w:r>
              <w:t>22–35</w:t>
            </w:r>
          </w:p>
        </w:tc>
        <w:tc>
          <w:tcPr>
            <w:tcW w:type="dxa" w:w="2880"/>
          </w:tcPr>
          <w:p>
            <w:r>
              <w:t>2‑mot‑1 transition</w:t>
            </w:r>
          </w:p>
        </w:tc>
        <w:tc>
          <w:tcPr>
            <w:tcW w:type="dxa" w:w="2880"/>
          </w:tcPr>
          <w:p>
            <w:r>
              <w:t>Första pass framåt</w:t>
            </w:r>
          </w:p>
        </w:tc>
      </w:tr>
      <w:tr>
        <w:tc>
          <w:tcPr>
            <w:tcW w:type="dxa" w:w="2880"/>
          </w:tcPr>
          <w:p>
            <w:r>
              <w:t>35–47</w:t>
            </w:r>
          </w:p>
        </w:tc>
        <w:tc>
          <w:tcPr>
            <w:tcW w:type="dxa" w:w="2880"/>
          </w:tcPr>
          <w:p>
            <w:r>
              <w:t>Spelvändningar</w:t>
            </w:r>
          </w:p>
        </w:tc>
        <w:tc>
          <w:tcPr>
            <w:tcW w:type="dxa" w:w="2880"/>
          </w:tcPr>
          <w:p>
            <w:r>
              <w:t>Kommunikation</w:t>
            </w:r>
          </w:p>
        </w:tc>
      </w:tr>
      <w:tr>
        <w:tc>
          <w:tcPr>
            <w:tcW w:type="dxa" w:w="2880"/>
          </w:tcPr>
          <w:p>
            <w:r>
              <w:t>47–57</w:t>
            </w:r>
          </w:p>
        </w:tc>
        <w:tc>
          <w:tcPr>
            <w:tcW w:type="dxa" w:w="2880"/>
          </w:tcPr>
          <w:p>
            <w:r>
              <w:t>Smålagsspel 3v3</w:t>
            </w:r>
          </w:p>
        </w:tc>
        <w:tc>
          <w:tcPr>
            <w:tcW w:type="dxa" w:w="2880"/>
          </w:tcPr>
          <w:p>
            <w:r>
              <w:t>Snabba beslut</w:t>
            </w:r>
          </w:p>
        </w:tc>
      </w:tr>
      <w:tr>
        <w:tc>
          <w:tcPr>
            <w:tcW w:type="dxa" w:w="2880"/>
          </w:tcPr>
          <w:p>
            <w:r>
              <w:t>57–60</w:t>
            </w:r>
          </w:p>
        </w:tc>
        <w:tc>
          <w:tcPr>
            <w:tcW w:type="dxa" w:w="2880"/>
          </w:tcPr>
          <w:p>
            <w:r>
              <w:t>Reflektion</w:t>
            </w:r>
          </w:p>
        </w:tc>
        <w:tc>
          <w:tcPr>
            <w:tcW w:type="dxa" w:w="2880"/>
          </w:tcPr>
          <w:p>
            <w:r>
              <w:t>Vad tar du med dig?</w:t>
            </w:r>
          </w:p>
        </w:tc>
      </w:tr>
    </w:tbl>
    <w:p>
      <w:pPr>
        <w:pStyle w:val="Heading1"/>
      </w:pPr>
      <w:r>
        <w:t>Material‑ och säkerhetschecklista</w:t>
      </w:r>
    </w:p>
    <w:p>
      <w:r>
        <w:t>□ Puckar och koner framlagda</w:t>
      </w:r>
    </w:p>
    <w:p>
      <w:r>
        <w:t>□ Första‑hjälpen tillgänglig</w:t>
      </w:r>
    </w:p>
    <w:p>
      <w:r>
        <w:t>□ Åkriktningar genomgångna</w:t>
      </w:r>
    </w:p>
    <w:p>
      <w:r>
        <w:t>□ Filmning redo vid behov</w:t>
      </w:r>
    </w:p>
    <w:p>
      <w:pPr>
        <w:pStyle w:val="Heading1"/>
      </w:pPr>
      <w:r>
        <w:t>Bedömning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Aspekt</w:t>
            </w:r>
          </w:p>
        </w:tc>
        <w:tc>
          <w:tcPr>
            <w:tcW w:type="dxa" w:w="2160"/>
          </w:tcPr>
          <w:p>
            <w:r>
              <w:t>Ej uppnått</w:t>
            </w:r>
          </w:p>
        </w:tc>
        <w:tc>
          <w:tcPr>
            <w:tcW w:type="dxa" w:w="2160"/>
          </w:tcPr>
          <w:p>
            <w:r>
              <w:t>Godkänt</w:t>
            </w:r>
          </w:p>
        </w:tc>
        <w:tc>
          <w:tcPr>
            <w:tcW w:type="dxa" w:w="2160"/>
          </w:tcPr>
          <w:p>
            <w:r>
              <w:t>Väl utvecklat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Teknik</w:t>
            </w:r>
          </w:p>
        </w:tc>
        <w:tc>
          <w:tcPr>
            <w:tcW w:type="dxa" w:w="2160"/>
          </w:tcPr>
          <w:p>
            <w:r>
              <w:t>Osäker</w:t>
            </w:r>
          </w:p>
        </w:tc>
        <w:tc>
          <w:tcPr>
            <w:tcW w:type="dxa" w:w="2160"/>
          </w:tcPr>
          <w:p>
            <w:r>
              <w:t>Stabil</w:t>
            </w:r>
          </w:p>
        </w:tc>
        <w:tc>
          <w:tcPr>
            <w:tcW w:type="dxa" w:w="2160"/>
          </w:tcPr>
          <w:p>
            <w:r>
              <w:t>Kontrollerad i hög fart</w:t>
            </w:r>
          </w:p>
        </w:tc>
      </w:tr>
      <w:tr>
        <w:tc>
          <w:tcPr>
            <w:tcW w:type="dxa" w:w="2160"/>
          </w:tcPr>
          <w:p>
            <w:r>
              <w:t>Speluppfattning</w:t>
            </w:r>
          </w:p>
        </w:tc>
        <w:tc>
          <w:tcPr>
            <w:tcW w:type="dxa" w:w="2160"/>
          </w:tcPr>
          <w:p>
            <w:r>
              <w:t>Sen reaktion</w:t>
            </w:r>
          </w:p>
        </w:tc>
        <w:tc>
          <w:tcPr>
            <w:tcW w:type="dxa" w:w="2160"/>
          </w:tcPr>
          <w:p>
            <w:r>
              <w:t>Hittar yta</w:t>
            </w:r>
          </w:p>
        </w:tc>
        <w:tc>
          <w:tcPr>
            <w:tcW w:type="dxa" w:w="2160"/>
          </w:tcPr>
          <w:p>
            <w:r>
              <w:t>Förutser spel</w:t>
            </w:r>
          </w:p>
        </w:tc>
      </w:tr>
      <w:tr>
        <w:tc>
          <w:tcPr>
            <w:tcW w:type="dxa" w:w="2160"/>
          </w:tcPr>
          <w:p>
            <w:r>
              <w:t>Säkerhet</w:t>
            </w:r>
          </w:p>
        </w:tc>
        <w:tc>
          <w:tcPr>
            <w:tcW w:type="dxa" w:w="2160"/>
          </w:tcPr>
          <w:p>
            <w:r>
              <w:t>Riskbeteende</w:t>
            </w:r>
          </w:p>
        </w:tc>
        <w:tc>
          <w:tcPr>
            <w:tcW w:type="dxa" w:w="2160"/>
          </w:tcPr>
          <w:p>
            <w:r>
              <w:t>Följer regler</w:t>
            </w:r>
          </w:p>
        </w:tc>
        <w:tc>
          <w:tcPr>
            <w:tcW w:type="dxa" w:w="2160"/>
          </w:tcPr>
          <w:p>
            <w:r>
              <w:t>Tar ansvar för gruppen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Specialidrott Ishockey - Ispassmall GlobeIce v2</dc:title>
  <dc:subject>GlobeIce Academy practice template for Specialidrott, training and competition theory</dc:subject>
  <dc:creator>python-docx</dc:creator>
  <cp:keywords>specialidrott, ishockey, tranings-och-tavlingslara, tavlingslara, idrott-och-halsa-excluded, globeice, academy</cp:keywords>
  <dc:description>Converted from an Idrott &amp; Hälsa draft into Specialidrott / training theory routing.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