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after="40" w:before="0"/>
      </w:pPr>
      <w:r>
        <w:rPr>
          <w:rFonts w:ascii="Arial" w:hAnsi="Arial"/>
          <w:b w:val="0"/>
          <w:i w:val="0"/>
          <w:color w:val="0B2239"/>
          <w:sz w:val="36"/>
        </w:rPr>
        <w:t>GlobeIce coachprotokoll: höft sidosmärta</w:t>
      </w:r>
    </w:p>
    <w:p>
      <w:pPr>
        <w:spacing w:after="120" w:before="0"/>
      </w:pPr>
      <w:r>
        <w:rPr>
          <w:rFonts w:ascii="Arial" w:hAnsi="Arial"/>
          <w:b w:val="0"/>
          <w:i/>
          <w:color w:val="475467"/>
          <w:sz w:val="20"/>
        </w:rPr>
        <w:t>Gluteus medius / abduktorer - fasmodell, belastningsregler och återgång till is</w:t>
      </w:r>
    </w:p>
    <w:tbl>
      <w:tblPr>
        <w:tblW w:type="dxa" w:w="9000"/>
        <w:jc w:val="left"/>
        <w:tblLayout w:type="fixed"/>
        <w:tblLook w:firstColumn="1" w:firstRow="1" w:lastColumn="0" w:lastRow="0" w:noHBand="0" w:noVBand="1" w:val="04A0"/>
      </w:tblPr>
      <w:tblGrid>
        <w:gridCol w:w="9000"/>
      </w:tblGrid>
      <w:tr>
        <w:tc>
          <w:tcPr>
            <w:tcW w:type="dxa" w:w="9000"/>
            <w:tcBorders>
              <w:top w:val="single" w:sz="8" w:space="0" w:color="B8DDEA"/>
              <w:left w:val="single" w:sz="8" w:space="0" w:color="B8DDEA"/>
              <w:bottom w:val="single" w:sz="8" w:space="0" w:color="B8DDEA"/>
              <w:right w:val="single" w:sz="8" w:space="0" w:color="B8DDEA"/>
            </w:tcBorders>
            <w:vAlign w:val="center"/>
            <w:shd w:fill="EAF6FB"/>
          </w:tcPr>
          <w:p>
            <w:pPr>
              <w:spacing w:after="40"/>
            </w:pPr>
            <w:r>
              <w:rPr>
                <w:b/>
                <w:color w:val="0B2239"/>
                <w:sz w:val="19"/>
              </w:rPr>
              <w:t>Coachens gräns</w:t>
            </w:r>
          </w:p>
          <w:p>
            <w:pPr>
              <w:spacing w:after="0"/>
            </w:pPr>
            <w:r>
              <w:rPr>
                <w:sz w:val="18"/>
              </w:rPr>
              <w:t>Detta protokoll hjälper coachen att bedöma belastning, modifiera träning och eskalera vid rödflaggor. Det ersätter inte diagnos, behandling eller medicinsk/fysioterapeutisk clearance.</w:t>
            </w:r>
          </w:p>
        </w:tc>
      </w:tr>
    </w:tbl>
    <w:p>
      <w:pPr>
        <w:pStyle w:val="Heading2"/>
        <w:keepNext/>
        <w:spacing w:after="80" w:before="160"/>
      </w:pPr>
      <w:r>
        <w:rPr>
          <w:rFonts w:ascii="Arial" w:hAnsi="Arial"/>
          <w:b w:val="0"/>
          <w:i w:val="0"/>
          <w:color w:val="0B2239"/>
          <w:sz w:val="25"/>
        </w:rPr>
        <w:t>Kort upplägg</w:t>
      </w:r>
    </w:p>
    <w:tbl>
      <w:tblPr>
        <w:tblW w:type="dxa" w:w="9000"/>
        <w:jc w:val="left"/>
        <w:tblLayout w:type="fixed"/>
        <w:tblLook w:firstColumn="1" w:firstRow="1" w:lastColumn="0" w:lastRow="0" w:noHBand="0" w:noVBand="1" w:val="04A0"/>
      </w:tblPr>
      <w:tblGrid>
        <w:gridCol w:w="760"/>
        <w:gridCol w:w="1200"/>
        <w:gridCol w:w="2750"/>
        <w:gridCol w:w="2850"/>
        <w:gridCol w:w="1440"/>
      </w:tblGrid>
      <w:tr>
        <w:trPr>
          <w:tblHeader w:val="true"/>
        </w:trPr>
        <w:tc>
          <w:tcPr>
            <w:tcW w:type="dxa" w:w="76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  <w:shd w:fill="F3F7FA"/>
          </w:tcPr>
          <w:p>
            <w:pPr>
              <w:spacing w:after="0"/>
            </w:pPr>
            <w:r>
              <w:rPr>
                <w:b/>
                <w:color w:val="0B2239"/>
                <w:sz w:val="16"/>
              </w:rPr>
              <w:t>Fas</w:t>
            </w:r>
          </w:p>
        </w:tc>
        <w:tc>
          <w:tcPr>
            <w:tcW w:type="dxa" w:w="12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  <w:shd w:fill="F3F7FA"/>
          </w:tcPr>
          <w:p>
            <w:pPr>
              <w:spacing w:after="0"/>
            </w:pPr>
            <w:r>
              <w:rPr>
                <w:b/>
                <w:color w:val="0B2239"/>
                <w:sz w:val="16"/>
              </w:rPr>
              <w:t>Tid</w:t>
            </w:r>
          </w:p>
        </w:tc>
        <w:tc>
          <w:tcPr>
            <w:tcW w:type="dxa" w:w="275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  <w:shd w:fill="F3F7FA"/>
          </w:tcPr>
          <w:p>
            <w:pPr>
              <w:spacing w:after="0"/>
            </w:pPr>
            <w:r>
              <w:rPr>
                <w:b/>
                <w:color w:val="0B2239"/>
                <w:sz w:val="16"/>
              </w:rPr>
              <w:t>Fokus</w:t>
            </w:r>
          </w:p>
        </w:tc>
        <w:tc>
          <w:tcPr>
            <w:tcW w:type="dxa" w:w="285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  <w:shd w:fill="F3F7FA"/>
          </w:tcPr>
          <w:p>
            <w:pPr>
              <w:spacing w:after="0"/>
            </w:pPr>
            <w:r>
              <w:rPr>
                <w:b/>
                <w:color w:val="0B2239"/>
                <w:sz w:val="16"/>
              </w:rPr>
              <w:t>Dos</w:t>
            </w:r>
          </w:p>
        </w:tc>
        <w:tc>
          <w:tcPr>
            <w:tcW w:type="dxa" w:w="144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  <w:shd w:fill="F3F7FA"/>
          </w:tcPr>
          <w:p>
            <w:pPr>
              <w:spacing w:after="0"/>
            </w:pPr>
            <w:r>
              <w:rPr>
                <w:b/>
                <w:color w:val="0B2239"/>
                <w:sz w:val="16"/>
              </w:rPr>
              <w:t>Progression</w:t>
            </w:r>
          </w:p>
        </w:tc>
      </w:tr>
      <w:tr>
        <w:tc>
          <w:tcPr>
            <w:tcW w:type="dxa" w:w="76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A</w:t>
            </w:r>
          </w:p>
        </w:tc>
        <w:tc>
          <w:tcPr>
            <w:tcW w:type="dxa" w:w="12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0-2 veckor</w:t>
            </w:r>
          </w:p>
        </w:tc>
        <w:tc>
          <w:tcPr>
            <w:tcW w:type="dxa" w:w="275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Smärtlindrande isometrier och låg irritabilitet.</w:t>
            </w:r>
          </w:p>
        </w:tc>
        <w:tc>
          <w:tcPr>
            <w:tcW w:type="dxa" w:w="285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4-6 x 30-45 s, smärta &lt;=3/10. Kort låg-belastande gång om gång är normal.</w:t>
            </w:r>
          </w:p>
        </w:tc>
        <w:tc>
          <w:tcPr>
            <w:tcW w:type="dxa" w:w="144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Smärta stabil, ingen teknikändring, åter till baslinje nästa dag.</w:t>
            </w:r>
          </w:p>
        </w:tc>
      </w:tr>
      <w:tr>
        <w:tc>
          <w:tcPr>
            <w:tcW w:type="dxa" w:w="76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B</w:t>
            </w:r>
          </w:p>
        </w:tc>
        <w:tc>
          <w:tcPr>
            <w:tcW w:type="dxa" w:w="12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2-6 veckor</w:t>
            </w:r>
          </w:p>
        </w:tc>
        <w:tc>
          <w:tcPr>
            <w:tcW w:type="dxa" w:w="275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Basstyrka i gluteus/abduktorer.</w:t>
            </w:r>
          </w:p>
        </w:tc>
        <w:tc>
          <w:tcPr>
            <w:tcW w:type="dxa" w:w="285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3 x 8-12, 2-3 pass/vecka: sidliggande abduktion, glute bridge, clamshells.</w:t>
            </w:r>
          </w:p>
        </w:tc>
        <w:tc>
          <w:tcPr>
            <w:tcW w:type="dxa" w:w="144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Kontrollerad single-leg stance, bridge och knäböj utan flare.</w:t>
            </w:r>
          </w:p>
        </w:tc>
      </w:tr>
      <w:tr>
        <w:tc>
          <w:tcPr>
            <w:tcW w:type="dxa" w:w="76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C</w:t>
            </w:r>
          </w:p>
        </w:tc>
        <w:tc>
          <w:tcPr>
            <w:tcW w:type="dxa" w:w="12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6-12 veckor</w:t>
            </w:r>
          </w:p>
        </w:tc>
        <w:tc>
          <w:tcPr>
            <w:tcW w:type="dxa" w:w="275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Heavy slow resistance och is-specifik återintroduktion.</w:t>
            </w:r>
          </w:p>
        </w:tc>
        <w:tc>
          <w:tcPr>
            <w:tcW w:type="dxa" w:w="285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3 x 6-8, 2 pass/vecka + step-ups, enbensknäböj och stegrad is.</w:t>
            </w:r>
          </w:p>
        </w:tc>
        <w:tc>
          <w:tcPr>
            <w:tcW w:type="dxa" w:w="144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Smärta &lt;=2/10, ren mekanik, 60 min normal aktivitet två dagar i rad.</w:t>
            </w:r>
          </w:p>
        </w:tc>
      </w:tr>
    </w:tbl>
    <w:p>
      <w:pPr>
        <w:pStyle w:val="Heading1"/>
        <w:spacing w:before="200" w:after="80"/>
      </w:pPr>
      <w:r>
        <w:rPr>
          <w:rFonts w:ascii="Arial" w:hAnsi="Arial"/>
        </w:rPr>
        <w:t>Evidens: utbildning + träning först</w:t>
      </w:r>
    </w:p>
    <w:p>
      <w:pPr>
        <w:spacing w:after="60"/>
      </w:pPr>
      <w:r>
        <w:rPr>
          <w:rFonts w:ascii="Arial" w:hAnsi="Arial"/>
          <w:sz w:val="19"/>
        </w:rPr>
        <w:t>Standardlogiken: utbildning om tendon load, mindre kompression och progressiv tr?ning f?re injektionscentrerat eller passivt v?nta-och-se-t?nkande.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223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fill="EAF2F8"/>
          </w:tcPr>
          <w:p>
            <w:pPr>
              <w:spacing w:after="20"/>
            </w:pPr>
            <w:r>
              <w:rPr>
                <w:rFonts w:ascii="Arial" w:hAnsi="Arial"/>
                <w:b/>
                <w:sz w:val="17"/>
              </w:rPr>
              <w:t>Evidenssignal</w:t>
            </w:r>
          </w:p>
        </w:tc>
        <w:tc>
          <w:tcPr>
            <w:tcW w:type="dxa" w:w="576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fill="EAF2F8"/>
          </w:tcPr>
          <w:p>
            <w:pPr>
              <w:spacing w:after="20"/>
            </w:pPr>
            <w:r>
              <w:rPr>
                <w:rFonts w:ascii="Arial" w:hAnsi="Arial"/>
                <w:b/>
                <w:sz w:val="17"/>
              </w:rPr>
              <w:t>Coachbeslut</w:t>
            </w:r>
          </w:p>
        </w:tc>
        <w:tc>
          <w:tcPr>
            <w:tcW w:type="dxa" w:w="208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fill="EAF2F8"/>
          </w:tcPr>
          <w:p>
            <w:pPr>
              <w:spacing w:after="20"/>
            </w:pPr>
            <w:r>
              <w:rPr>
                <w:rFonts w:ascii="Arial" w:hAnsi="Arial"/>
                <w:b/>
                <w:sz w:val="17"/>
              </w:rPr>
              <w:t>M?tpunkt</w:t>
            </w:r>
          </w:p>
        </w:tc>
      </w:tr>
      <w:tr>
        <w:tc>
          <w:tcPr>
            <w:tcW w:type="dxa" w:w="223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</w:tcPr>
          <w:p>
            <w:pPr>
              <w:spacing w:after="20"/>
            </w:pPr>
            <w:r>
              <w:rPr>
                <w:rFonts w:ascii="Arial" w:hAnsi="Arial"/>
                <w:sz w:val="17"/>
              </w:rPr>
              <w:t>Education + exercise</w:t>
            </w:r>
          </w:p>
        </w:tc>
        <w:tc>
          <w:tcPr>
            <w:tcW w:type="dxa" w:w="576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</w:tcPr>
          <w:p>
            <w:pPr>
              <w:spacing w:after="20"/>
            </w:pPr>
            <w:r>
              <w:rPr>
                <w:rFonts w:ascii="Arial" w:hAnsi="Arial"/>
                <w:sz w:val="17"/>
              </w:rPr>
              <w:t>Synlig plan: load-regler, isometrier, styrkeprogression, uppf?ljning.</w:t>
            </w:r>
          </w:p>
        </w:tc>
        <w:tc>
          <w:tcPr>
            <w:tcW w:type="dxa" w:w="208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</w:tcPr>
          <w:p>
            <w:pPr>
              <w:spacing w:after="20"/>
            </w:pPr>
            <w:r>
              <w:rPr>
                <w:rFonts w:ascii="Arial" w:hAnsi="Arial"/>
                <w:sz w:val="17"/>
              </w:rPr>
              <w:t>Sm?rta + 24 h</w:t>
            </w:r>
          </w:p>
        </w:tc>
      </w:tr>
      <w:tr>
        <w:tc>
          <w:tcPr>
            <w:tcW w:type="dxa" w:w="223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</w:tcPr>
          <w:p>
            <w:pPr>
              <w:spacing w:after="20"/>
            </w:pPr>
            <w:r>
              <w:rPr>
                <w:rFonts w:ascii="Arial" w:hAnsi="Arial"/>
                <w:sz w:val="17"/>
              </w:rPr>
              <w:t>Funktion/self-efficacy</w:t>
            </w:r>
          </w:p>
        </w:tc>
        <w:tc>
          <w:tcPr>
            <w:tcW w:type="dxa" w:w="576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</w:tcPr>
          <w:p>
            <w:pPr>
              <w:spacing w:after="20"/>
            </w:pPr>
            <w:r>
              <w:rPr>
                <w:rFonts w:ascii="Arial" w:hAnsi="Arial"/>
                <w:sz w:val="17"/>
              </w:rPr>
              <w:t>F?lj trygghet, sm?rtfrekvens och faktisk funktion - inte bara styrka.</w:t>
            </w:r>
          </w:p>
        </w:tc>
        <w:tc>
          <w:tcPr>
            <w:tcW w:type="dxa" w:w="208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</w:tcPr>
          <w:p>
            <w:pPr>
              <w:spacing w:after="20"/>
            </w:pPr>
            <w:r>
              <w:rPr>
                <w:rFonts w:ascii="Arial" w:hAnsi="Arial"/>
                <w:sz w:val="17"/>
              </w:rPr>
              <w:t>Funktion 1-5</w:t>
            </w:r>
          </w:p>
        </w:tc>
      </w:tr>
      <w:tr>
        <w:tc>
          <w:tcPr>
            <w:tcW w:type="dxa" w:w="223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</w:tcPr>
          <w:p>
            <w:pPr>
              <w:spacing w:after="20"/>
            </w:pPr>
            <w:r>
              <w:rPr>
                <w:rFonts w:ascii="Arial" w:hAnsi="Arial"/>
                <w:sz w:val="17"/>
              </w:rPr>
              <w:t>24-timmarsrespons</w:t>
            </w:r>
          </w:p>
        </w:tc>
        <w:tc>
          <w:tcPr>
            <w:tcW w:type="dxa" w:w="576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</w:tcPr>
          <w:p>
            <w:pPr>
              <w:spacing w:after="20"/>
            </w:pPr>
            <w:r>
              <w:rPr>
                <w:rFonts w:ascii="Arial" w:hAnsi="Arial"/>
                <w:sz w:val="17"/>
              </w:rPr>
              <w:t>Om &gt;2/10 v?rre n?sta dag: minska n?sta h?ftload 20-30%.</w:t>
            </w:r>
          </w:p>
        </w:tc>
        <w:tc>
          <w:tcPr>
            <w:tcW w:type="dxa" w:w="208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</w:tcPr>
          <w:p>
            <w:pPr>
              <w:spacing w:after="20"/>
            </w:pPr>
            <w:r>
              <w:rPr>
                <w:rFonts w:ascii="Arial" w:hAnsi="Arial"/>
                <w:sz w:val="17"/>
              </w:rPr>
              <w:t>Next-day delta</w:t>
            </w:r>
          </w:p>
        </w:tc>
      </w:tr>
    </w:tbl>
    <w:p>
      <w:pPr>
        <w:spacing w:before="120" w:after="200"/>
      </w:pPr>
      <w:r>
        <w:rPr>
          <w:rFonts w:ascii="Arial" w:hAnsi="Arial"/>
        </w:rPr>
        <w:t>Beslutsgång: 1) skärma rödflaggor och load spike, 2) starta utbildning + kompressionsreduktion + tolererbara isometrier, 3) logga smärta och 24 h-respons, 4) progressa till långsamma isotona övningar/enbensarbete/gradvis is, 5) remittera vid atypisk, ökande eller utebliven förbättring efter 6-8 veckor.</w:t>
      </w:r>
    </w:p>
    <w:p>
      <w:pPr>
        <w:pStyle w:val="Heading2"/>
        <w:keepNext/>
        <w:spacing w:after="80" w:before="160"/>
      </w:pPr>
      <w:r>
        <w:rPr>
          <w:rFonts w:ascii="Arial" w:hAnsi="Arial"/>
          <w:b w:val="0"/>
          <w:i w:val="0"/>
          <w:color w:val="0B2239"/>
          <w:sz w:val="25"/>
        </w:rPr>
        <w:t>Belastningsregler för coach</w:t>
      </w:r>
    </w:p>
    <w:p>
      <w:pPr>
        <w:pStyle w:val="ListBullet"/>
        <w:spacing w:after="40"/>
        <w:ind w:left="360" w:hanging="173"/>
      </w:pPr>
      <w:r>
        <w:rPr>
          <w:rFonts w:ascii="Arial" w:hAnsi="Arial"/>
        </w:rPr>
        <w:t>24-timmarsregeln: om smärtan ökar mer än 2/10 nästa dag, minska nästa belastning 20-30 %.</w:t>
      </w:r>
    </w:p>
    <w:p>
      <w:pPr>
        <w:pStyle w:val="ListBullet"/>
        <w:spacing w:after="40"/>
        <w:ind w:left="360" w:hanging="173"/>
      </w:pPr>
      <w:r>
        <w:rPr>
          <w:rFonts w:ascii="Arial" w:hAnsi="Arial"/>
        </w:rPr>
        <w:t>Veckobelastning: öka ungefär 10 %/vecka som försiktig tumregel, inte som automatisk order.</w:t>
      </w:r>
    </w:p>
    <w:p>
      <w:pPr>
        <w:pStyle w:val="ListBullet"/>
        <w:spacing w:after="40"/>
        <w:ind w:left="360" w:hanging="173"/>
      </w:pPr>
      <w:r>
        <w:rPr>
          <w:rFonts w:ascii="Arial" w:hAnsi="Arial"/>
        </w:rPr>
        <w:t>Smärtgräns: coachledd träning bör oftast ligga &lt;=3/10 och återgå till baslinje nästa dag.</w:t>
      </w:r>
    </w:p>
    <w:p>
      <w:pPr>
        <w:pStyle w:val="ListBullet"/>
        <w:spacing w:after="40"/>
        <w:ind w:left="360" w:hanging="173"/>
      </w:pPr>
      <w:r>
        <w:rPr>
          <w:rFonts w:ascii="Arial" w:hAnsi="Arial"/>
        </w:rPr>
        <w:t>Kompressionsregel: undvik smärtsam höftadduktion, sidoliggande tryck och aggressiv stretching.</w:t>
      </w:r>
    </w:p>
    <w:p>
      <w:pPr>
        <w:pStyle w:val="ListBullet"/>
        <w:spacing w:after="40"/>
        <w:ind w:left="360" w:hanging="173"/>
      </w:pPr>
      <w:r>
        <w:rPr>
          <w:rFonts w:ascii="Arial" w:hAnsi="Arial"/>
        </w:rPr>
        <w:t>Isregel: tillåt korta modifierade on-ice-uppgifter när funktionstester är kontrollerade.</w:t>
      </w:r>
    </w:p>
    <w:p>
      <w:pPr>
        <w:pStyle w:val="Heading2"/>
        <w:keepNext/>
        <w:spacing w:after="80" w:before="160"/>
      </w:pPr>
      <w:r>
        <w:rPr>
          <w:rFonts w:ascii="Arial" w:hAnsi="Arial"/>
          <w:b w:val="0"/>
          <w:i w:val="0"/>
          <w:color w:val="0B2239"/>
          <w:sz w:val="25"/>
        </w:rPr>
        <w:t>Praktiska återgångströsklar</w:t>
      </w:r>
    </w:p>
    <w:p>
      <w:pPr>
        <w:pStyle w:val="ListBullet"/>
        <w:spacing w:after="40"/>
        <w:ind w:left="360" w:hanging="173"/>
      </w:pPr>
      <w:r>
        <w:rPr>
          <w:rFonts w:ascii="Arial" w:hAnsi="Arial"/>
        </w:rPr>
        <w:t>Smärta &lt;=2/10 under och efter pass.</w:t>
      </w:r>
    </w:p>
    <w:p>
      <w:pPr>
        <w:pStyle w:val="ListBullet"/>
        <w:spacing w:after="40"/>
        <w:ind w:left="360" w:hanging="173"/>
      </w:pPr>
      <w:r>
        <w:rPr>
          <w:rFonts w:ascii="Arial" w:hAnsi="Arial"/>
        </w:rPr>
        <w:t>Ingen Trendelenburg eller synligt bäckenfall i gång, enbensarbete eller skating setup.</w:t>
      </w:r>
    </w:p>
    <w:p>
      <w:pPr>
        <w:pStyle w:val="ListBullet"/>
        <w:spacing w:after="40"/>
        <w:ind w:left="360" w:hanging="173"/>
      </w:pPr>
      <w:r>
        <w:rPr>
          <w:rFonts w:ascii="Arial" w:hAnsi="Arial"/>
        </w:rPr>
        <w:t>Enbensknäböj med god kontroll av bäcken, knä och bål.</w:t>
      </w:r>
    </w:p>
    <w:p>
      <w:pPr>
        <w:pStyle w:val="ListBullet"/>
        <w:spacing w:after="40"/>
        <w:ind w:left="360" w:hanging="173"/>
      </w:pPr>
      <w:r>
        <w:rPr>
          <w:rFonts w:ascii="Arial" w:hAnsi="Arial"/>
        </w:rPr>
        <w:t>Enbens-bridge och abduktorkontroll kan upprepas utan symptomflare.</w:t>
      </w:r>
    </w:p>
    <w:p>
      <w:pPr>
        <w:pStyle w:val="ListBullet"/>
        <w:spacing w:after="40"/>
        <w:ind w:left="360" w:hanging="173"/>
      </w:pPr>
      <w:r>
        <w:rPr>
          <w:rFonts w:ascii="Arial" w:hAnsi="Arial"/>
        </w:rPr>
        <w:t>Klarar 60 min normal coachning/aktivitet två dagar i rad innan isintensitet höjs.</w:t>
      </w:r>
    </w:p>
    <w:p>
      <w:pPr>
        <w:sectPr>
          <w:headerReference w:type="default" r:id="rId9"/>
          <w:footerReference w:type="default" r:id="rId10"/>
          <w:pgSz w:w="12240" w:h="15840"/>
          <w:pgMar w:top="792" w:right="936" w:bottom="792" w:left="936" w:header="720" w:footer="720" w:gutter="0"/>
          <w:cols w:space="720"/>
          <w:docGrid w:linePitch="360"/>
        </w:sectPr>
      </w:pPr>
    </w:p>
    <w:p>
      <w:pPr>
        <w:pStyle w:val="Heading2"/>
        <w:keepNext/>
        <w:spacing w:after="80" w:before="160"/>
      </w:pPr>
      <w:r>
        <w:rPr>
          <w:rFonts w:ascii="Arial" w:hAnsi="Arial"/>
          <w:b w:val="0"/>
          <w:i w:val="0"/>
          <w:color w:val="0B2239"/>
          <w:sz w:val="25"/>
        </w:rPr>
        <w:t>Bedömningsformulär</w:t>
      </w:r>
    </w:p>
    <w:tbl>
      <w:tblPr>
        <w:tblW w:type="dxa" w:w="9000"/>
        <w:jc w:val="left"/>
        <w:tblLayout w:type="fixed"/>
        <w:tblLook w:firstColumn="1" w:firstRow="1" w:lastColumn="0" w:lastRow="0" w:noHBand="0" w:noVBand="1" w:val="04A0"/>
      </w:tblPr>
      <w:tblGrid>
        <w:gridCol w:w="2100"/>
        <w:gridCol w:w="4300"/>
        <w:gridCol w:w="2600"/>
      </w:tblGrid>
      <w:tr>
        <w:trPr>
          <w:tblHeader w:val="true"/>
        </w:trPr>
        <w:tc>
          <w:tcPr>
            <w:tcW w:type="dxa" w:w="21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  <w:shd w:fill="F3F7FA"/>
          </w:tcPr>
          <w:p>
            <w:pPr>
              <w:spacing w:after="0"/>
            </w:pPr>
            <w:r>
              <w:rPr>
                <w:b/>
                <w:color w:val="0B2239"/>
                <w:sz w:val="16"/>
              </w:rPr>
              <w:t>Fält</w:t>
            </w:r>
          </w:p>
        </w:tc>
        <w:tc>
          <w:tcPr>
            <w:tcW w:type="dxa" w:w="43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  <w:shd w:fill="F3F7FA"/>
          </w:tcPr>
          <w:p>
            <w:pPr>
              <w:spacing w:after="0"/>
            </w:pPr>
            <w:r>
              <w:rPr>
                <w:b/>
                <w:color w:val="0B2239"/>
                <w:sz w:val="16"/>
              </w:rPr>
              <w:t>Fyll i</w:t>
            </w:r>
          </w:p>
        </w:tc>
        <w:tc>
          <w:tcPr>
            <w:tcW w:type="dxa" w:w="2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  <w:shd w:fill="F3F7FA"/>
          </w:tcPr>
          <w:p>
            <w:pPr>
              <w:spacing w:after="0"/>
            </w:pPr>
            <w:r>
              <w:rPr>
                <w:b/>
                <w:color w:val="0B2239"/>
                <w:sz w:val="16"/>
              </w:rPr>
              <w:t>Användning</w:t>
            </w:r>
          </w:p>
        </w:tc>
      </w:tr>
      <w:tr>
        <w:tc>
          <w:tcPr>
            <w:tcW w:type="dxa" w:w="21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Datum / debut</w:t>
            </w:r>
          </w:p>
        </w:tc>
        <w:tc>
          <w:tcPr>
            <w:tcW w:type="dxa" w:w="43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Datum, första symptomdatum, mekanism eller load spike.</w:t>
            </w:r>
          </w:p>
        </w:tc>
        <w:tc>
          <w:tcPr>
            <w:tcW w:type="dxa" w:w="2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Koppla symptom till träningskalender och veckoload.</w:t>
            </w:r>
          </w:p>
        </w:tc>
      </w:tr>
      <w:tr>
        <w:tc>
          <w:tcPr>
            <w:tcW w:type="dxa" w:w="21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VAS smärta</w:t>
            </w:r>
          </w:p>
        </w:tc>
        <w:tc>
          <w:tcPr>
            <w:tcW w:type="dxa" w:w="43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0-10 vid vila, gång/trappa, single-leg stance och skating start.</w:t>
            </w:r>
          </w:p>
        </w:tc>
        <w:tc>
          <w:tcPr>
            <w:tcW w:type="dxa" w:w="2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Sätter dagens grön/gul/röd-beslut.</w:t>
            </w:r>
          </w:p>
        </w:tc>
      </w:tr>
      <w:tr>
        <w:tc>
          <w:tcPr>
            <w:tcW w:type="dxa" w:w="21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Enbensknäböj</w:t>
            </w:r>
          </w:p>
        </w:tc>
        <w:tc>
          <w:tcPr>
            <w:tcW w:type="dxa" w:w="43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Bäckenfall, knävalgus, bålskift, smärta och sidoskillnad.</w:t>
            </w:r>
          </w:p>
        </w:tc>
        <w:tc>
          <w:tcPr>
            <w:tcW w:type="dxa" w:w="2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Gate för edge work, acceleration och enbenskrav.</w:t>
            </w:r>
          </w:p>
        </w:tc>
      </w:tr>
      <w:tr>
        <w:tc>
          <w:tcPr>
            <w:tcW w:type="dxa" w:w="21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Enbens-bridge reps</w:t>
            </w:r>
          </w:p>
        </w:tc>
        <w:tc>
          <w:tcPr>
            <w:tcW w:type="dxa" w:w="43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Kontrollerade reps per sida före smärta, trötthet eller kompensation.</w:t>
            </w:r>
          </w:p>
        </w:tc>
        <w:tc>
          <w:tcPr>
            <w:tcW w:type="dxa" w:w="2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Följer tolerans och symmetri.</w:t>
            </w:r>
          </w:p>
        </w:tc>
      </w:tr>
      <w:tr>
        <w:tc>
          <w:tcPr>
            <w:tcW w:type="dxa" w:w="21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Trendelenburg</w:t>
            </w:r>
          </w:p>
        </w:tc>
        <w:tc>
          <w:tcPr>
            <w:tcW w:type="dxa" w:w="43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Ja/nej + notering om bäckenkontroll.</w:t>
            </w:r>
          </w:p>
        </w:tc>
        <w:tc>
          <w:tcPr>
            <w:tcW w:type="dxa" w:w="2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Positivt tecken håller planen i modifierad load/klinikerledd progression.</w:t>
            </w:r>
          </w:p>
        </w:tc>
      </w:tr>
      <w:tr>
        <w:tc>
          <w:tcPr>
            <w:tcW w:type="dxa" w:w="21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Röda flaggor</w:t>
            </w:r>
          </w:p>
        </w:tc>
        <w:tc>
          <w:tcPr>
            <w:tcW w:type="dxa" w:w="43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Skarp smärta, trauma, nattlig smärta, allmänsymtom, domning, snabb försämring.</w:t>
            </w:r>
          </w:p>
        </w:tc>
        <w:tc>
          <w:tcPr>
            <w:tcW w:type="dxa" w:w="2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Stoppar hög belastning och triggar remiss/bedömning.</w:t>
            </w:r>
          </w:p>
        </w:tc>
      </w:tr>
      <w:tr>
        <w:tc>
          <w:tcPr>
            <w:tcW w:type="dxa" w:w="21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Belastningsnivå</w:t>
            </w:r>
          </w:p>
        </w:tc>
        <w:tc>
          <w:tcPr>
            <w:tcW w:type="dxa" w:w="43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Full, modifierad, låg-load eller ingen hög belastning.</w:t>
            </w:r>
          </w:p>
        </w:tc>
        <w:tc>
          <w:tcPr>
            <w:tcW w:type="dxa" w:w="2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Gör screeningen till en konkret nästa-session-plan.</w:t>
            </w:r>
          </w:p>
        </w:tc>
      </w:tr>
      <w:tr>
        <w:tc>
          <w:tcPr>
            <w:tcW w:type="dxa" w:w="21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Uppföljning</w:t>
            </w:r>
          </w:p>
        </w:tc>
        <w:tc>
          <w:tcPr>
            <w:tcW w:type="dxa" w:w="43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Ägare, reviewdatum, nästa-dag-respons, dokumentplats.</w:t>
            </w:r>
          </w:p>
        </w:tc>
        <w:tc>
          <w:tcPr>
            <w:tcW w:type="dxa" w:w="2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Ser till att signalen inte försvinner efter ett pass.</w:t>
            </w:r>
          </w:p>
        </w:tc>
      </w:tr>
    </w:tbl>
    <w:p>
      <w:pPr>
        <w:pStyle w:val="Heading2"/>
        <w:keepNext/>
        <w:spacing w:after="80" w:before="160"/>
      </w:pPr>
      <w:r>
        <w:rPr>
          <w:rFonts w:ascii="Arial" w:hAnsi="Arial"/>
          <w:b w:val="0"/>
          <w:i w:val="0"/>
          <w:color w:val="0B2239"/>
          <w:sz w:val="25"/>
        </w:rPr>
        <w:t>Exempel: 7-dagars belastningsplan</w:t>
      </w:r>
    </w:p>
    <w:tbl>
      <w:tblPr>
        <w:tblW w:type="dxa" w:w="9000"/>
        <w:jc w:val="left"/>
        <w:tblLayout w:type="fixed"/>
        <w:tblLook w:firstColumn="1" w:firstRow="1" w:lastColumn="0" w:lastRow="0" w:noHBand="0" w:noVBand="1" w:val="04A0"/>
      </w:tblPr>
      <w:tblGrid>
        <w:gridCol w:w="700"/>
        <w:gridCol w:w="5600"/>
        <w:gridCol w:w="2700"/>
      </w:tblGrid>
      <w:tr>
        <w:trPr>
          <w:tblHeader w:val="true"/>
        </w:trPr>
        <w:tc>
          <w:tcPr>
            <w:tcW w:type="dxa" w:w="7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  <w:shd w:fill="F3F7FA"/>
          </w:tcPr>
          <w:p>
            <w:pPr>
              <w:spacing w:after="0"/>
            </w:pPr>
            <w:r>
              <w:rPr>
                <w:b/>
                <w:color w:val="0B2239"/>
                <w:sz w:val="16"/>
              </w:rPr>
              <w:t>Dag</w:t>
            </w:r>
          </w:p>
        </w:tc>
        <w:tc>
          <w:tcPr>
            <w:tcW w:type="dxa" w:w="5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  <w:shd w:fill="F3F7FA"/>
          </w:tcPr>
          <w:p>
            <w:pPr>
              <w:spacing w:after="0"/>
            </w:pPr>
            <w:r>
              <w:rPr>
                <w:b/>
                <w:color w:val="0B2239"/>
                <w:sz w:val="16"/>
              </w:rPr>
              <w:t>Plan</w:t>
            </w:r>
          </w:p>
        </w:tc>
        <w:tc>
          <w:tcPr>
            <w:tcW w:type="dxa" w:w="27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  <w:shd w:fill="F3F7FA"/>
          </w:tcPr>
          <w:p>
            <w:pPr>
              <w:spacing w:after="0"/>
            </w:pPr>
            <w:r>
              <w:rPr>
                <w:b/>
                <w:color w:val="0B2239"/>
                <w:sz w:val="16"/>
              </w:rPr>
              <w:t>Coachbeslut</w:t>
            </w:r>
          </w:p>
        </w:tc>
      </w:tr>
      <w:tr>
        <w:tc>
          <w:tcPr>
            <w:tcW w:type="dxa" w:w="7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type="dxa" w:w="5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Bedömningsformulär, VAS-baslinje, Fas A-isometrier. Ta bort provocerande is.</w:t>
            </w:r>
          </w:p>
        </w:tc>
        <w:tc>
          <w:tcPr>
            <w:tcW w:type="dxa" w:w="27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Bestäm load level och uppföljningsägare.</w:t>
            </w:r>
          </w:p>
        </w:tc>
      </w:tr>
      <w:tr>
        <w:tc>
          <w:tcPr>
            <w:tcW w:type="dxa" w:w="7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type="dxa" w:w="5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Låg-load gång/cykel om gång är normal. Upprepa isometrier.</w:t>
            </w:r>
          </w:p>
        </w:tc>
        <w:tc>
          <w:tcPr>
            <w:tcW w:type="dxa" w:w="27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Kontrollera 24 h respons.</w:t>
            </w:r>
          </w:p>
        </w:tc>
      </w:tr>
      <w:tr>
        <w:tc>
          <w:tcPr>
            <w:tcW w:type="dxa" w:w="7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3</w:t>
            </w:r>
          </w:p>
        </w:tc>
        <w:tc>
          <w:tcPr>
            <w:tcW w:type="dxa" w:w="5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Kort modifierad teknisk is om smärtan är stabil. Inga max edges/race.</w:t>
            </w:r>
          </w:p>
        </w:tc>
        <w:tc>
          <w:tcPr>
            <w:tcW w:type="dxa" w:w="27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Stoppa vid 3/10 eller mekanikändring.</w:t>
            </w:r>
          </w:p>
        </w:tc>
      </w:tr>
      <w:tr>
        <w:tc>
          <w:tcPr>
            <w:tcW w:type="dxa" w:w="7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4</w:t>
            </w:r>
          </w:p>
        </w:tc>
        <w:tc>
          <w:tcPr>
            <w:tcW w:type="dxa" w:w="5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Basstyrka eller isometrier beroende på respons.</w:t>
            </w:r>
          </w:p>
        </w:tc>
        <w:tc>
          <w:tcPr>
            <w:tcW w:type="dxa" w:w="27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Uppdatera load level.</w:t>
            </w:r>
          </w:p>
        </w:tc>
      </w:tr>
      <w:tr>
        <w:tc>
          <w:tcPr>
            <w:tcW w:type="dxa" w:w="7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5</w:t>
            </w:r>
          </w:p>
        </w:tc>
        <w:tc>
          <w:tcPr>
            <w:tcW w:type="dxa" w:w="5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Kort on-ice skill exposure med tydlig stopregel.</w:t>
            </w:r>
          </w:p>
        </w:tc>
        <w:tc>
          <w:tcPr>
            <w:tcW w:type="dxa" w:w="27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Ingen progression om nästa-dag-signal var gul/röd.</w:t>
            </w:r>
          </w:p>
        </w:tc>
      </w:tr>
      <w:tr>
        <w:tc>
          <w:tcPr>
            <w:tcW w:type="dxa" w:w="7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6</w:t>
            </w:r>
          </w:p>
        </w:tc>
        <w:tc>
          <w:tcPr>
            <w:tcW w:type="dxa" w:w="5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Aktiv återhämtning + reassessment av single-leg stance/knäböj.</w:t>
            </w:r>
          </w:p>
        </w:tc>
        <w:tc>
          <w:tcPr>
            <w:tcW w:type="dxa" w:w="27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Jämför mot dag 1.</w:t>
            </w:r>
          </w:p>
        </w:tc>
      </w:tr>
      <w:tr>
        <w:tc>
          <w:tcPr>
            <w:tcW w:type="dxa" w:w="7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7</w:t>
            </w:r>
          </w:p>
        </w:tc>
        <w:tc>
          <w:tcPr>
            <w:tcW w:type="dxa" w:w="5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Coach + medicinsk/fysio review.</w:t>
            </w:r>
          </w:p>
        </w:tc>
        <w:tc>
          <w:tcPr>
            <w:tcW w:type="dxa" w:w="27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Beslut om nästa veckas fas och dos.</w:t>
            </w:r>
          </w:p>
        </w:tc>
      </w:tr>
    </w:tbl>
    <w:p>
      <w:pPr>
        <w:sectPr>
          <w:pgSz w:w="12240" w:h="15840"/>
          <w:pgMar w:top="792" w:right="936" w:bottom="792" w:left="936" w:header="720" w:footer="720" w:gutter="0"/>
          <w:cols w:space="720"/>
          <w:docGrid w:linePitch="360"/>
        </w:sectPr>
      </w:pPr>
    </w:p>
    <w:p>
      <w:pPr>
        <w:pStyle w:val="Heading2"/>
        <w:keepNext/>
        <w:spacing w:after="80" w:before="160"/>
      </w:pPr>
      <w:r>
        <w:rPr>
          <w:rFonts w:ascii="Arial" w:hAnsi="Arial"/>
          <w:b w:val="0"/>
          <w:i w:val="0"/>
          <w:color w:val="0B2239"/>
          <w:sz w:val="25"/>
        </w:rPr>
        <w:t>Fas A: 0-2 veckor</w:t>
      </w:r>
    </w:p>
    <w:p>
      <w:pPr>
        <w:pStyle w:val="ListBullet"/>
        <w:spacing w:after="40"/>
        <w:ind w:left="360" w:hanging="173"/>
      </w:pPr>
      <w:r>
        <w:rPr>
          <w:rFonts w:ascii="Arial" w:hAnsi="Arial"/>
        </w:rPr>
        <w:t>Mål: minska irritabilitet och behåll säker aktivitet.</w:t>
      </w:r>
    </w:p>
    <w:p>
      <w:pPr>
        <w:pStyle w:val="ListBullet"/>
        <w:spacing w:after="40"/>
        <w:ind w:left="360" w:hanging="173"/>
      </w:pPr>
      <w:r>
        <w:rPr>
          <w:rFonts w:ascii="Arial" w:hAnsi="Arial"/>
        </w:rPr>
        <w:t>Dos: isometrier 4-6 x 30-45 s, smärta &lt;=3/10.</w:t>
      </w:r>
    </w:p>
    <w:p>
      <w:pPr>
        <w:pStyle w:val="ListBullet"/>
        <w:spacing w:after="40"/>
        <w:ind w:left="360" w:hanging="173"/>
      </w:pPr>
      <w:r>
        <w:rPr>
          <w:rFonts w:ascii="Arial" w:hAnsi="Arial"/>
        </w:rPr>
        <w:t>Tillåt: kort låg-belastande gång om gångmönster är normalt och responsen är stabil.</w:t>
      </w:r>
    </w:p>
    <w:p>
      <w:pPr>
        <w:pStyle w:val="ListBullet"/>
        <w:spacing w:after="40"/>
        <w:ind w:left="360" w:hanging="173"/>
      </w:pPr>
      <w:r>
        <w:rPr>
          <w:rFonts w:ascii="Arial" w:hAnsi="Arial"/>
        </w:rPr>
        <w:t>Undvik: maximal skating, upprepat hårt edge-arbete, smärtsam höftadduktion och aggressiv stretching.</w:t>
      </w:r>
    </w:p>
    <w:p>
      <w:pPr>
        <w:pStyle w:val="ListBullet"/>
        <w:spacing w:after="40"/>
        <w:ind w:left="360" w:hanging="173"/>
      </w:pPr>
      <w:r>
        <w:rPr>
          <w:rFonts w:ascii="Arial" w:hAnsi="Arial"/>
        </w:rPr>
        <w:t>Progression: ingen symptomflare nästa dag och ingen ändrad gång/skatingmekanik.</w:t>
      </w:r>
    </w:p>
    <w:p>
      <w:pPr>
        <w:pStyle w:val="Heading2"/>
        <w:keepNext/>
        <w:spacing w:after="80" w:before="160"/>
      </w:pPr>
      <w:r>
        <w:rPr>
          <w:rFonts w:ascii="Arial" w:hAnsi="Arial"/>
          <w:b w:val="0"/>
          <w:i w:val="0"/>
          <w:color w:val="0B2239"/>
          <w:sz w:val="25"/>
        </w:rPr>
        <w:t>Fas B: 2-6 veckor</w:t>
      </w:r>
    </w:p>
    <w:p>
      <w:pPr>
        <w:pStyle w:val="ListBullet"/>
        <w:spacing w:after="40"/>
        <w:ind w:left="360" w:hanging="173"/>
      </w:pPr>
      <w:r>
        <w:rPr>
          <w:rFonts w:ascii="Arial" w:hAnsi="Arial"/>
        </w:rPr>
        <w:t>Mål: bygg kontrollerad basstyrka i gluteus medius/minimus och abduktorer.</w:t>
      </w:r>
    </w:p>
    <w:p>
      <w:pPr>
        <w:pStyle w:val="ListBullet"/>
        <w:spacing w:after="40"/>
        <w:ind w:left="360" w:hanging="173"/>
      </w:pPr>
      <w:r>
        <w:rPr>
          <w:rFonts w:ascii="Arial" w:hAnsi="Arial"/>
        </w:rPr>
        <w:t>Dos: 3 x 8-12, 2-3 pass per vecka.</w:t>
      </w:r>
    </w:p>
    <w:p>
      <w:pPr>
        <w:pStyle w:val="ListBullet"/>
        <w:spacing w:after="40"/>
        <w:ind w:left="360" w:hanging="173"/>
      </w:pPr>
      <w:r>
        <w:rPr>
          <w:rFonts w:ascii="Arial" w:hAnsi="Arial"/>
        </w:rPr>
        <w:t>Övningar: sidliggande abduktion, glute bridge, clamshells, lågkomplex balans/step om tolererat.</w:t>
      </w:r>
    </w:p>
    <w:p>
      <w:pPr>
        <w:pStyle w:val="ListBullet"/>
        <w:spacing w:after="40"/>
        <w:ind w:left="360" w:hanging="173"/>
      </w:pPr>
      <w:r>
        <w:rPr>
          <w:rFonts w:ascii="Arial" w:hAnsi="Arial"/>
        </w:rPr>
        <w:t>Coachregel: progressa en variabel åt gången - volym, last, range eller hockeykomplexitet.</w:t>
      </w:r>
    </w:p>
    <w:p>
      <w:pPr>
        <w:pStyle w:val="ListBullet"/>
        <w:spacing w:after="40"/>
        <w:ind w:left="360" w:hanging="173"/>
      </w:pPr>
      <w:r>
        <w:rPr>
          <w:rFonts w:ascii="Arial" w:hAnsi="Arial"/>
        </w:rPr>
        <w:t>Progression: single-leg stance, bridge och knäböj är kontrollerade med smärta &lt;=2-3/10.</w:t>
      </w:r>
    </w:p>
    <w:p>
      <w:pPr>
        <w:pStyle w:val="Heading2"/>
        <w:keepNext/>
        <w:spacing w:after="80" w:before="160"/>
      </w:pPr>
      <w:r>
        <w:rPr>
          <w:rFonts w:ascii="Arial" w:hAnsi="Arial"/>
          <w:b w:val="0"/>
          <w:i w:val="0"/>
          <w:color w:val="0B2239"/>
          <w:sz w:val="25"/>
        </w:rPr>
        <w:t>Fas C: 6-12 veckor</w:t>
      </w:r>
    </w:p>
    <w:p>
      <w:pPr>
        <w:pStyle w:val="ListBullet"/>
        <w:spacing w:after="40"/>
        <w:ind w:left="360" w:hanging="173"/>
      </w:pPr>
      <w:r>
        <w:rPr>
          <w:rFonts w:ascii="Arial" w:hAnsi="Arial"/>
        </w:rPr>
        <w:t>Mål: återställ tendon-kapacitet, enbensstyrka och is-specifik repeatability.</w:t>
      </w:r>
    </w:p>
    <w:p>
      <w:pPr>
        <w:pStyle w:val="ListBullet"/>
        <w:spacing w:after="40"/>
        <w:ind w:left="360" w:hanging="173"/>
      </w:pPr>
      <w:r>
        <w:rPr>
          <w:rFonts w:ascii="Arial" w:hAnsi="Arial"/>
        </w:rPr>
        <w:t>Dos: heavy slow resistance 3 x 6-8, 2 pass per vecka.</w:t>
      </w:r>
    </w:p>
    <w:p>
      <w:pPr>
        <w:pStyle w:val="ListBullet"/>
        <w:spacing w:after="40"/>
        <w:ind w:left="360" w:hanging="173"/>
      </w:pPr>
      <w:r>
        <w:rPr>
          <w:rFonts w:ascii="Arial" w:hAnsi="Arial"/>
        </w:rPr>
        <w:t>Övningar: tyngre abduktions-/lateral chain-styrka, step-ups, kontrollerad enbensknäböj, split stance.</w:t>
      </w:r>
    </w:p>
    <w:p>
      <w:pPr>
        <w:pStyle w:val="ListBullet"/>
        <w:spacing w:after="40"/>
        <w:ind w:left="360" w:hanging="173"/>
      </w:pPr>
      <w:r>
        <w:rPr>
          <w:rFonts w:ascii="Arial" w:hAnsi="Arial"/>
        </w:rPr>
        <w:t>Isstegring: tekniktempo -&gt; edges -&gt; acceleration/deceleration -&gt; kontakt -&gt; repeat efforts.</w:t>
      </w:r>
    </w:p>
    <w:p>
      <w:pPr>
        <w:pStyle w:val="ListBullet"/>
        <w:spacing w:after="40"/>
        <w:ind w:left="360" w:hanging="173"/>
      </w:pPr>
      <w:r>
        <w:rPr>
          <w:rFonts w:ascii="Arial" w:hAnsi="Arial"/>
        </w:rPr>
        <w:t>Relapseregel: ökar smärtan &gt;2/10 nästa dag, minska nästa dos 20-30 %.</w:t>
      </w:r>
    </w:p>
    <w:p>
      <w:pPr>
        <w:sectPr>
          <w:pgSz w:w="12240" w:h="15840"/>
          <w:pgMar w:top="792" w:right="936" w:bottom="792" w:left="936" w:header="720" w:footer="720" w:gutter="0"/>
          <w:cols w:space="720"/>
          <w:docGrid w:linePitch="360"/>
        </w:sectPr>
      </w:pPr>
    </w:p>
    <w:p>
      <w:pPr>
        <w:pStyle w:val="Heading2"/>
        <w:keepNext/>
        <w:spacing w:after="80" w:before="160"/>
      </w:pPr>
      <w:r>
        <w:rPr>
          <w:rFonts w:ascii="Arial" w:hAnsi="Arial"/>
          <w:b w:val="0"/>
          <w:i w:val="0"/>
          <w:color w:val="0B2239"/>
          <w:sz w:val="25"/>
        </w:rPr>
        <w:t>Coachnoteringar</w:t>
      </w:r>
    </w:p>
    <w:p>
      <w:pPr>
        <w:pStyle w:val="ListBullet"/>
        <w:spacing w:after="40"/>
        <w:ind w:left="360" w:hanging="173"/>
      </w:pPr>
      <w:r>
        <w:rPr>
          <w:rFonts w:ascii="Arial" w:hAnsi="Arial"/>
        </w:rPr>
        <w:t>Träning och utbildning om belastning är basen. Injektioner/passiva metoder ska inte bli förstahandslogiken i coachflödet.</w:t>
      </w:r>
    </w:p>
    <w:p>
      <w:pPr>
        <w:pStyle w:val="ListBullet"/>
        <w:spacing w:after="40"/>
        <w:ind w:left="360" w:hanging="173"/>
      </w:pPr>
      <w:r>
        <w:rPr>
          <w:rFonts w:ascii="Arial" w:hAnsi="Arial"/>
        </w:rPr>
        <w:t>Smärta som går att genomföra är inte automatiskt säker belastning. Nästa-dag-responsen avgör.</w:t>
      </w:r>
    </w:p>
    <w:p>
      <w:pPr>
        <w:pStyle w:val="ListBullet"/>
        <w:spacing w:after="40"/>
        <w:ind w:left="360" w:hanging="173"/>
      </w:pPr>
      <w:r>
        <w:rPr>
          <w:rFonts w:ascii="Arial" w:hAnsi="Arial"/>
        </w:rPr>
        <w:t>Sänk hellre toppintensitet än att ta bort all aktivitet om spelaren kan röra sig utan symptomflare.</w:t>
      </w:r>
    </w:p>
    <w:p>
      <w:pPr>
        <w:pStyle w:val="ListBullet"/>
        <w:spacing w:after="40"/>
        <w:ind w:left="360" w:hanging="173"/>
      </w:pPr>
      <w:r>
        <w:rPr>
          <w:rFonts w:ascii="Arial" w:hAnsi="Arial"/>
        </w:rPr>
        <w:t>Vid stiltje, rödflaggor eller tydlig mekanikändring: koppla in medicinsk/fysioterapeutisk kompetens.</w:t>
      </w:r>
    </w:p>
    <w:p>
      <w:pPr>
        <w:pStyle w:val="Heading2"/>
        <w:keepNext/>
        <w:spacing w:after="80" w:before="160"/>
      </w:pPr>
      <w:r>
        <w:rPr>
          <w:rFonts w:ascii="Arial" w:hAnsi="Arial"/>
          <w:b w:val="0"/>
          <w:i w:val="0"/>
          <w:color w:val="0B2239"/>
          <w:sz w:val="25"/>
        </w:rPr>
        <w:t>Snabb logg för GlobeIce</w:t>
      </w:r>
    </w:p>
    <w:tbl>
      <w:tblPr>
        <w:tblW w:type="dxa" w:w="9000"/>
        <w:jc w:val="left"/>
        <w:tblLayout w:type="fixed"/>
        <w:tblLook w:firstColumn="1" w:firstRow="1" w:lastColumn="0" w:lastRow="0" w:noHBand="0" w:noVBand="1" w:val="04A0"/>
      </w:tblPr>
      <w:tblGrid>
        <w:gridCol w:w="3400"/>
        <w:gridCol w:w="5600"/>
      </w:tblGrid>
      <w:tr>
        <w:trPr>
          <w:tblHeader w:val="true"/>
        </w:trPr>
        <w:tc>
          <w:tcPr>
            <w:tcW w:type="dxa" w:w="34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  <w:shd w:fill="F3F7FA"/>
          </w:tcPr>
          <w:p>
            <w:pPr>
              <w:spacing w:after="0"/>
            </w:pPr>
            <w:r>
              <w:rPr>
                <w:b/>
                <w:color w:val="0B2239"/>
                <w:sz w:val="16"/>
              </w:rPr>
              <w:t>Fält</w:t>
            </w:r>
          </w:p>
        </w:tc>
        <w:tc>
          <w:tcPr>
            <w:tcW w:type="dxa" w:w="5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  <w:shd w:fill="F3F7FA"/>
          </w:tcPr>
          <w:p>
            <w:pPr>
              <w:spacing w:after="0"/>
            </w:pPr>
            <w:r>
              <w:rPr>
                <w:b/>
                <w:color w:val="0B2239"/>
                <w:sz w:val="16"/>
              </w:rPr>
              <w:t>Exempel</w:t>
            </w:r>
          </w:p>
        </w:tc>
      </w:tr>
      <w:tr>
        <w:tc>
          <w:tcPr>
            <w:tcW w:type="dxa" w:w="34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pain_hip_side</w:t>
            </w:r>
          </w:p>
        </w:tc>
        <w:tc>
          <w:tcPr>
            <w:tcW w:type="dxa" w:w="5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0-10</w:t>
            </w:r>
          </w:p>
        </w:tc>
      </w:tr>
      <w:tr>
        <w:tc>
          <w:tcPr>
            <w:tcW w:type="dxa" w:w="34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single_leg_stance_seconds</w:t>
            </w:r>
          </w:p>
        </w:tc>
        <w:tc>
          <w:tcPr>
            <w:tcW w:type="dxa" w:w="5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0-30</w:t>
            </w:r>
          </w:p>
        </w:tc>
      </w:tr>
      <w:tr>
        <w:tc>
          <w:tcPr>
            <w:tcW w:type="dxa" w:w="34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trendelenburg</w:t>
            </w:r>
          </w:p>
        </w:tc>
        <w:tc>
          <w:tcPr>
            <w:tcW w:type="dxa" w:w="5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ja/nej</w:t>
            </w:r>
          </w:p>
        </w:tc>
      </w:tr>
      <w:tr>
        <w:tc>
          <w:tcPr>
            <w:tcW w:type="dxa" w:w="34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single_leg_squat_quality</w:t>
            </w:r>
          </w:p>
        </w:tc>
        <w:tc>
          <w:tcPr>
            <w:tcW w:type="dxa" w:w="5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green/yellow/red + notering</w:t>
            </w:r>
          </w:p>
        </w:tc>
      </w:tr>
      <w:tr>
        <w:tc>
          <w:tcPr>
            <w:tcW w:type="dxa" w:w="34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load_level</w:t>
            </w:r>
          </w:p>
        </w:tc>
        <w:tc>
          <w:tcPr>
            <w:tcW w:type="dxa" w:w="5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full / modified / low_load / no_high_load</w:t>
            </w:r>
          </w:p>
        </w:tc>
      </w:tr>
      <w:tr>
        <w:tc>
          <w:tcPr>
            <w:tcW w:type="dxa" w:w="34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next_day_response</w:t>
            </w:r>
          </w:p>
        </w:tc>
        <w:tc>
          <w:tcPr>
            <w:tcW w:type="dxa" w:w="5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baseline / better / worse</w:t>
            </w:r>
          </w:p>
        </w:tc>
      </w:tr>
      <w:tr>
        <w:tc>
          <w:tcPr>
            <w:tcW w:type="dxa" w:w="34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follow_up_owner</w:t>
            </w:r>
          </w:p>
        </w:tc>
        <w:tc>
          <w:tcPr>
            <w:tcW w:type="dxa" w:w="5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6"/>
              </w:rPr>
              <w:t>coach / physio / medical</w:t>
            </w:r>
          </w:p>
        </w:tc>
      </w:tr>
    </w:tbl>
    <w:p>
      <w:pPr>
        <w:pStyle w:val="Heading2"/>
        <w:keepNext/>
        <w:spacing w:after="80" w:before="160"/>
      </w:pPr>
      <w:r>
        <w:rPr>
          <w:rFonts w:ascii="Arial" w:hAnsi="Arial"/>
          <w:b w:val="0"/>
          <w:i w:val="0"/>
          <w:color w:val="0B2239"/>
          <w:sz w:val="25"/>
        </w:rPr>
        <w:t>Källstöd</w:t>
      </w:r>
    </w:p>
    <w:p>
      <w:pPr>
        <w:pStyle w:val="ListBullet"/>
        <w:spacing w:after="40"/>
        <w:ind w:left="360" w:hanging="173"/>
      </w:pPr>
      <w:r>
        <w:rPr>
          <w:rFonts w:ascii="Arial" w:hAnsi="Arial"/>
        </w:rPr>
        <w:t>BMJ LEAP RCT: education + exercise jämfört med injektion och wait-and-see vid gluteal tendinopati.</w:t>
      </w:r>
    </w:p>
    <w:p>
      <w:pPr>
        <w:pStyle w:val="ListBullet"/>
        <w:spacing w:after="40"/>
        <w:ind w:left="360" w:hanging="173"/>
      </w:pPr>
      <w:r>
        <w:rPr>
          <w:rFonts w:ascii="Arial" w:hAnsi="Arial"/>
        </w:rPr>
        <w:t>Systematiska översikter pekar mot progressiv träning och belastningsstyrning som central strategi.</w:t>
      </w:r>
    </w:p>
    <w:p>
      <w:pPr>
        <w:pStyle w:val="ListBullet"/>
        <w:spacing w:after="40"/>
        <w:ind w:left="360" w:hanging="173"/>
      </w:pPr>
      <w:r>
        <w:rPr>
          <w:rFonts w:ascii="Arial" w:hAnsi="Arial"/>
        </w:rPr>
        <w:t>Diagnostiska tester ska användas i kluster och med kliniskt omdöme, inte som coachdiagnos.</w:t>
      </w:r>
    </w:p>
    <w:p>
      <w:pPr>
        <w:spacing w:after="80" w:before="120"/>
      </w:pPr>
      <w:r>
        <w:rPr>
          <w:rFonts w:ascii="Arial" w:hAnsi="Arial"/>
          <w:b/>
          <w:i w:val="0"/>
          <w:color w:val="0B2239"/>
          <w:sz w:val="19"/>
        </w:rPr>
        <w:t>Praktisk regel: mät bara sådant som ändrar nästa pass.</w:t>
      </w:r>
    </w:p>
    <w:p>
      <w:pPr>
        <w:spacing w:after="80"/>
      </w:pPr>
      <w:r>
        <w:rPr>
          <w:rFonts w:ascii="Arial" w:hAnsi="Arial"/>
        </w:rPr>
        <w:t>Systematisk översikt 2024: träning jämfört med kontroll/konservativa alternativ vid GTPS/lateral höftsmärta stödjer exercise-first management.</w:t>
      </w:r>
    </w:p>
    <w:p>
      <w:pPr>
        <w:spacing w:after="80"/>
      </w:pPr>
      <w:r>
        <w:rPr>
          <w:rFonts w:ascii="Arial" w:hAnsi="Arial"/>
        </w:rPr>
        <w:t>JOSPT mediatoranalys 2022: förbättring efter education + exercise verkar drivas av funktion, smärtfrekvens och pain self-efficacy mer än enbart höftstyrka.</w:t>
      </w:r>
    </w:p>
    <w:sectPr w:rsidR="00FC693F" w:rsidRPr="0006063C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color w:val="667085"/>
        <w:sz w:val="16"/>
      </w:rPr>
      <w:t>Coach-safe load governance - inte medicinsk clearance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667085"/>
        <w:sz w:val="16"/>
      </w:rPr>
      <w:t>GlobeIce Coach Protocol | Höft sidosmärta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rial" w:hAnsi="Arial" w:eastAsia="Arial"/>
      <w:sz w:val="18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