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42240"/>
          <w:sz w:val="36"/>
        </w:rPr>
        <w:t>GlobeIce Hockey Return-To-Play Coach Protocol</w:t>
      </w:r>
    </w:p>
    <w:p>
      <w:pPr>
        <w:jc w:val="center"/>
      </w:pPr>
      <w:r>
        <w:rPr>
          <w:color w:val="4C5866"/>
          <w:sz w:val="20"/>
        </w:rPr>
        <w:t>Concussion, knee, groin/hip, shoulder, ankle, and overload gates for coach-safe planning</w:t>
      </w:r>
    </w:p>
    <w:p>
      <w:pPr>
        <w:spacing w:before="160" w:after="80"/>
      </w:pPr>
      <w:r>
        <w:rPr>
          <w:b/>
          <w:color w:val="042240"/>
          <w:sz w:val="26"/>
        </w:rPr>
        <w:t>Safety rule</w:t>
      </w:r>
    </w:p>
    <w:p>
      <w:pPr>
        <w:pStyle w:val="ListBullet"/>
        <w:spacing w:after="20"/>
      </w:pPr>
      <w:r>
        <w:rPr>
          <w:sz w:val="18"/>
        </w:rPr>
        <w:t>RTP is a shared decision. Coaches can remove, modify, observe, document, and enforce restrictions.</w:t>
      </w:r>
    </w:p>
    <w:p>
      <w:pPr>
        <w:pStyle w:val="ListBullet"/>
        <w:spacing w:after="20"/>
      </w:pPr>
      <w:r>
        <w:rPr>
          <w:sz w:val="18"/>
        </w:rPr>
        <w:t>Medical or qualified performance staff own diagnosis and clearance after concussion, surgery, major trauma, suspected fracture, or persistent symptoms.</w:t>
      </w:r>
    </w:p>
    <w:p>
      <w:pPr>
        <w:pStyle w:val="ListBullet"/>
        <w:spacing w:after="20"/>
      </w:pPr>
      <w:r>
        <w:rPr>
          <w:sz w:val="18"/>
        </w:rPr>
        <w:t>For suspected concussion: remove from play, no same-day return, healthcare-provider supervised progression.</w:t>
      </w:r>
    </w:p>
    <w:p>
      <w:pPr>
        <w:spacing w:before="160" w:after="80"/>
      </w:pPr>
      <w:r>
        <w:rPr>
          <w:b/>
          <w:color w:val="042240"/>
          <w:sz w:val="26"/>
        </w:rPr>
        <w:t>Four phase RTP lane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1814"/>
            <w:vAlign w:val="top"/>
            <w:shd w:fill="D9EAF7"/>
          </w:tcPr>
          <w:p>
            <w:r/>
            <w:r>
              <w:rPr>
                <w:b/>
                <w:sz w:val="17"/>
              </w:rPr>
              <w:t>Phase</w:t>
            </w:r>
          </w:p>
        </w:tc>
        <w:tc>
          <w:tcPr>
            <w:tcW w:type="dxa" w:w="2835"/>
            <w:vAlign w:val="top"/>
            <w:shd w:fill="D9EAF7"/>
          </w:tcPr>
          <w:p>
            <w:r/>
            <w:r>
              <w:rPr>
                <w:b/>
                <w:sz w:val="17"/>
              </w:rPr>
              <w:t>Coach-safe work</w:t>
            </w:r>
          </w:p>
        </w:tc>
        <w:tc>
          <w:tcPr>
            <w:tcW w:type="dxa" w:w="2835"/>
            <w:vAlign w:val="top"/>
            <w:shd w:fill="D9EAF7"/>
          </w:tcPr>
          <w:p>
            <w:r/>
            <w:r>
              <w:rPr>
                <w:b/>
                <w:sz w:val="17"/>
              </w:rPr>
              <w:t>Progress gate</w:t>
            </w:r>
          </w:p>
        </w:tc>
        <w:tc>
          <w:tcPr>
            <w:tcW w:type="dxa" w:w="2835"/>
            <w:vAlign w:val="top"/>
            <w:shd w:fill="D9EAF7"/>
          </w:tcPr>
          <w:p>
            <w:r/>
            <w:r>
              <w:rPr>
                <w:b/>
                <w:sz w:val="17"/>
              </w:rPr>
              <w:t>Stop gate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1. Protect and control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Remove unsafe exposure, log incident/symptoms, keep only approved low-risk work.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Symptoms stable/improving and restrictions allow next phase.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Red flags, concussion symptoms, inability to bear weight, deformity, sharp pain, swelling escalation.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2. Restore capacity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Mobility, strength, balance, controlled movement, 24-hour response monitoring.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Pain low, control acceptable, no swelling increase, next-day response stable.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Pain above agreed limit, swelling increase, compensation, worsening mechanics.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3. Hockey-specific non-contact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Skating, starts/stops, edge work, passing, shooting, puck pressure without contact.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Hockey tasks completed without symptom flare or quality loss.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Symptoms return, next-day pain +2/10, cutting/landing quality drops, confidence not ready.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4. Contact and competition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Controlled contact, battle drills, small-area games, full practice, then competition.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Clearance complete where required, objective gates met, full practice tolerated.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b w:val="0"/>
                <w:sz w:val="17"/>
              </w:rPr>
              <w:t>Missing clearance, symptoms return, contact creates altered mechanics.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Criteria-based rehab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2041"/>
            <w:vAlign w:val="top"/>
            <w:shd w:fill="D9EAF7"/>
          </w:tcPr>
          <w:p>
            <w:r/>
            <w:r>
              <w:rPr>
                <w:b/>
                <w:sz w:val="17"/>
              </w:rPr>
              <w:t>Stage</w:t>
            </w:r>
          </w:p>
        </w:tc>
        <w:tc>
          <w:tcPr>
            <w:tcW w:type="dxa" w:w="3969"/>
            <w:vAlign w:val="top"/>
            <w:shd w:fill="D9EAF7"/>
          </w:tcPr>
          <w:p>
            <w:r/>
            <w:r>
              <w:rPr>
                <w:b/>
                <w:sz w:val="17"/>
              </w:rPr>
              <w:t>Minimum evidence</w:t>
            </w:r>
          </w:p>
        </w:tc>
        <w:tc>
          <w:tcPr>
            <w:tcW w:type="dxa" w:w="4309"/>
            <w:vAlign w:val="top"/>
            <w:shd w:fill="D9EAF7"/>
          </w:tcPr>
          <w:p>
            <w:r/>
            <w:r>
              <w:rPr>
                <w:b/>
                <w:sz w:val="17"/>
              </w:rPr>
              <w:t>Coach decision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Injury management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Incident/symptom log, red-flag screen, medical owner, visible restrictions.</w:t>
            </w:r>
          </w:p>
        </w:tc>
        <w:tc>
          <w:tcPr>
            <w:tcW w:type="dxa" w:w="4309"/>
            <w:vAlign w:val="top"/>
          </w:tcPr>
          <w:p>
            <w:r/>
            <w:r>
              <w:rPr>
                <w:b w:val="0"/>
                <w:sz w:val="17"/>
              </w:rPr>
              <w:t>No high-risk exposure until restrictions and follow-up owner are clear.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Rehab capacity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Pain/swelling stable over 24 h, range/strength/control match phase demand, readiness tracked.</w:t>
            </w:r>
          </w:p>
        </w:tc>
        <w:tc>
          <w:tcPr>
            <w:tcW w:type="dxa" w:w="4309"/>
            <w:vAlign w:val="top"/>
          </w:tcPr>
          <w:p>
            <w:r/>
            <w:r>
              <w:rPr>
                <w:b w:val="0"/>
                <w:sz w:val="17"/>
              </w:rPr>
              <w:t>Progress one variable at a time: volume, speed, direction change, contact, or decision pressure.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Return to participation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Allowed training lane, daily dose log, no symptom flare or altered mechanics after previous dose.</w:t>
            </w:r>
          </w:p>
        </w:tc>
        <w:tc>
          <w:tcPr>
            <w:tcW w:type="dxa" w:w="4309"/>
            <w:vAlign w:val="top"/>
          </w:tcPr>
          <w:p>
            <w:r/>
            <w:r>
              <w:rPr>
                <w:b w:val="0"/>
                <w:sz w:val="17"/>
              </w:rPr>
              <w:t>Use modified practice, short shifts, protected stations, or non-contact roles.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Return to sport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Objective tests accepted, full/near-full practice tolerated, contact exposure completed when relevant.</w:t>
            </w:r>
          </w:p>
        </w:tc>
        <w:tc>
          <w:tcPr>
            <w:tcW w:type="dxa" w:w="4309"/>
            <w:vAlign w:val="top"/>
          </w:tcPr>
          <w:p>
            <w:r/>
            <w:r>
              <w:rPr>
                <w:b w:val="0"/>
                <w:sz w:val="17"/>
              </w:rPr>
              <w:t>Competition only when medical owner, coach, player, and data trend agree.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Return to performance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Outputs and workload compared with baseline/role demand; reintegration reviewed 1-4 weeks.</w:t>
            </w:r>
          </w:p>
        </w:tc>
        <w:tc>
          <w:tcPr>
            <w:tcW w:type="dxa" w:w="4309"/>
            <w:vAlign w:val="top"/>
          </w:tcPr>
          <w:p>
            <w:r/>
            <w:r>
              <w:rPr>
                <w:b w:val="0"/>
                <w:sz w:val="17"/>
              </w:rPr>
              <w:t>Keep monitoring after game return; RTP is not complete just because the player appeared in a match.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Injury lane quick screen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2381"/>
            <w:vAlign w:val="top"/>
            <w:shd w:fill="D9EAF7"/>
          </w:tcPr>
          <w:p>
            <w:r/>
            <w:r>
              <w:rPr>
                <w:b/>
                <w:sz w:val="17"/>
              </w:rPr>
              <w:t>Lane</w:t>
            </w:r>
          </w:p>
        </w:tc>
        <w:tc>
          <w:tcPr>
            <w:tcW w:type="dxa" w:w="7937"/>
            <w:vAlign w:val="top"/>
            <w:shd w:fill="D9EAF7"/>
          </w:tcPr>
          <w:p>
            <w:r/>
            <w:r>
              <w:rPr>
                <w:b/>
                <w:sz w:val="17"/>
              </w:rPr>
              <w:t>Coach-facing RTP notes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Concussion / suspected head injury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Remove immediately. No same-day return. Healthcare-provider RTP. Six steps, at least 24 h each, symptom-free progression.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Knee ligament / meniscus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Monitor swelling, ROM, gait/skating, confidence. No pivot/cut/contact until cleared. Use strength/hop/agility gates, often &gt;=90% symmetry for ACL-style RTS.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Groin / hip / hamstring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Track push-off, crossovers, starts/stops, stride quality, 24 h response. Progress straight-line -&gt; agility -&gt; hockey tasks -&gt; contact.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Shoulder / AC joint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Check stickhandling, passing, shooting, falls, board contact, battle posture. Contact progression before games.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Ankle / foot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Check weight bearing, swelling, skate fit/tolerance, balance, edge control. Straight-line skating before tight turns/contact.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Overload / tendinopathy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Use load spike check, sleep/soreness context, pain stability, and 24 h response. Progress capacity before repeated high intensity.</w:t>
            </w:r>
          </w:p>
        </w:tc>
      </w:tr>
    </w:tbl>
    <w:p>
      <w:r>
        <w:br w:type="page"/>
      </w:r>
    </w:p>
    <w:p>
      <w:pPr>
        <w:spacing w:before="160" w:after="80"/>
      </w:pPr>
      <w:r>
        <w:rPr>
          <w:b/>
          <w:color w:val="042240"/>
          <w:sz w:val="26"/>
        </w:rPr>
        <w:t>Green / yellow / red decisions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1361"/>
            <w:vAlign w:val="top"/>
            <w:shd w:fill="D9EAF7"/>
          </w:tcPr>
          <w:p>
            <w:r/>
            <w:r>
              <w:rPr>
                <w:b/>
                <w:sz w:val="17"/>
              </w:rPr>
              <w:t>Band</w:t>
            </w:r>
          </w:p>
        </w:tc>
        <w:tc>
          <w:tcPr>
            <w:tcW w:type="dxa" w:w="4082"/>
            <w:vAlign w:val="top"/>
            <w:shd w:fill="D9EAF7"/>
          </w:tcPr>
          <w:p>
            <w:r/>
            <w:r>
              <w:rPr>
                <w:b/>
                <w:sz w:val="17"/>
              </w:rPr>
              <w:t>Rule</w:t>
            </w:r>
          </w:p>
        </w:tc>
        <w:tc>
          <w:tcPr>
            <w:tcW w:type="dxa" w:w="4762"/>
            <w:vAlign w:val="top"/>
            <w:shd w:fill="D9EAF7"/>
          </w:tcPr>
          <w:p>
            <w:r/>
            <w:r>
              <w:rPr>
                <w:b/>
                <w:sz w:val="17"/>
              </w:rPr>
              <w:t>Coach action</w:t>
            </w:r>
          </w:p>
        </w:tc>
      </w:tr>
      <w:tr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  <w:t>Green</w:t>
            </w:r>
          </w:p>
        </w:tc>
        <w:tc>
          <w:tcPr>
            <w:tcW w:type="dxa" w:w="4082"/>
            <w:vAlign w:val="top"/>
          </w:tcPr>
          <w:p>
            <w:r/>
            <w:r>
              <w:rPr>
                <w:b w:val="0"/>
                <w:sz w:val="17"/>
              </w:rPr>
              <w:t>Phase gates met, symptoms stable, no compensation, restrictions allow work.</w:t>
            </w:r>
          </w:p>
        </w:tc>
        <w:tc>
          <w:tcPr>
            <w:tcW w:type="dxa" w:w="4762"/>
            <w:vAlign w:val="top"/>
          </w:tcPr>
          <w:p>
            <w:r/>
            <w:r>
              <w:rPr>
                <w:b w:val="0"/>
                <w:sz w:val="17"/>
              </w:rPr>
              <w:t>Run planned phase and log response.</w:t>
            </w:r>
          </w:p>
        </w:tc>
      </w:tr>
      <w:tr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  <w:t>Yellow</w:t>
            </w:r>
          </w:p>
        </w:tc>
        <w:tc>
          <w:tcPr>
            <w:tcW w:type="dxa" w:w="4082"/>
            <w:vAlign w:val="top"/>
          </w:tcPr>
          <w:p>
            <w:r/>
            <w:r>
              <w:rPr>
                <w:b w:val="0"/>
                <w:sz w:val="17"/>
              </w:rPr>
              <w:t>Gate incomplete, symptoms elevated, or load response uncertain.</w:t>
            </w:r>
          </w:p>
        </w:tc>
        <w:tc>
          <w:tcPr>
            <w:tcW w:type="dxa" w:w="4762"/>
            <w:vAlign w:val="top"/>
          </w:tcPr>
          <w:p>
            <w:r/>
            <w:r>
              <w:rPr>
                <w:b w:val="0"/>
                <w:sz w:val="17"/>
              </w:rPr>
              <w:t>Modify volume, speed, contact, or complexity. Set follow-up owner.</w:t>
            </w:r>
          </w:p>
        </w:tc>
      </w:tr>
      <w:tr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  <w:t>Red</w:t>
            </w:r>
          </w:p>
        </w:tc>
        <w:tc>
          <w:tcPr>
            <w:tcW w:type="dxa" w:w="4082"/>
            <w:vAlign w:val="top"/>
          </w:tcPr>
          <w:p>
            <w:r/>
            <w:r>
              <w:rPr>
                <w:b w:val="0"/>
                <w:sz w:val="17"/>
              </w:rPr>
              <w:t>Red flag, missing clearance, symptom return, severe pain, swelling, altered mechanics.</w:t>
            </w:r>
          </w:p>
        </w:tc>
        <w:tc>
          <w:tcPr>
            <w:tcW w:type="dxa" w:w="4762"/>
            <w:vAlign w:val="top"/>
          </w:tcPr>
          <w:p>
            <w:r/>
            <w:r>
              <w:rPr>
                <w:b w:val="0"/>
                <w:sz w:val="17"/>
              </w:rPr>
              <w:t>Hold high-risk work and refer to medical/physio support.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Objective RTS gate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2381"/>
            <w:vAlign w:val="top"/>
            <w:shd w:fill="D9EAF7"/>
          </w:tcPr>
          <w:p>
            <w:r/>
            <w:r>
              <w:rPr>
                <w:b/>
                <w:sz w:val="17"/>
              </w:rPr>
              <w:t>Gate</w:t>
            </w:r>
          </w:p>
        </w:tc>
        <w:tc>
          <w:tcPr>
            <w:tcW w:type="dxa" w:w="5443"/>
            <w:vAlign w:val="top"/>
            <w:shd w:fill="D9EAF7"/>
          </w:tcPr>
          <w:p>
            <w:r/>
            <w:r>
              <w:rPr>
                <w:b/>
                <w:sz w:val="17"/>
              </w:rPr>
              <w:t>Default gate</w:t>
            </w:r>
          </w:p>
        </w:tc>
        <w:tc>
          <w:tcPr>
            <w:tcW w:type="dxa" w:w="2381"/>
            <w:vAlign w:val="top"/>
            <w:shd w:fill="D9EAF7"/>
          </w:tcPr>
          <w:p>
            <w:r/>
            <w:r>
              <w:rPr>
                <w:b/>
                <w:sz w:val="17"/>
              </w:rPr>
              <w:t>Evidence note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Medical clearance / red flags</w:t>
            </w:r>
          </w:p>
        </w:tc>
        <w:tc>
          <w:tcPr>
            <w:tcW w:type="dxa" w:w="5443"/>
            <w:vAlign w:val="top"/>
          </w:tcPr>
          <w:p>
            <w:r/>
            <w:r>
              <w:rPr>
                <w:b w:val="0"/>
                <w:sz w:val="17"/>
              </w:rPr>
              <w:t>Required before concussion progression, contact, post-op escalation, suspected fracture, major trauma, or persistent symptoms.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High safety / consensus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Symptoms, pain, swelling</w:t>
            </w:r>
          </w:p>
        </w:tc>
        <w:tc>
          <w:tcPr>
            <w:tcW w:type="dxa" w:w="5443"/>
            <w:vAlign w:val="top"/>
          </w:tcPr>
          <w:p>
            <w:r/>
            <w:r>
              <w:rPr>
                <w:b w:val="0"/>
                <w:sz w:val="17"/>
              </w:rPr>
              <w:t>No symptom return at current step; no next-day flare; trace-to-zero effusion for ACL-style knee clearance where used.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Strong safety / common RTS gate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ROM</w:t>
            </w:r>
          </w:p>
        </w:tc>
        <w:tc>
          <w:tcPr>
            <w:tcW w:type="dxa" w:w="5443"/>
            <w:vAlign w:val="top"/>
          </w:tcPr>
          <w:p>
            <w:r/>
            <w:r>
              <w:rPr>
                <w:b w:val="0"/>
                <w:sz w:val="17"/>
              </w:rPr>
              <w:t>Full or medically accepted range for the planned task without pain, instability, or compensation.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Moderate / consensus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Strength symmetry</w:t>
            </w:r>
          </w:p>
        </w:tc>
        <w:tc>
          <w:tcPr>
            <w:tcW w:type="dxa" w:w="5443"/>
            <w:vAlign w:val="top"/>
          </w:tcPr>
          <w:p>
            <w:r/>
            <w:r>
              <w:rPr>
                <w:b w:val="0"/>
                <w:sz w:val="17"/>
              </w:rPr>
              <w:t>ACL/knee RTS commonly targets &gt;=90% quadriceps and relevant limb symmetry; other lanes use phase thresholds.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Best supported in ACL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Hop / power / agility</w:t>
            </w:r>
          </w:p>
        </w:tc>
        <w:tc>
          <w:tcPr>
            <w:tcW w:type="dxa" w:w="5443"/>
            <w:vAlign w:val="top"/>
          </w:tcPr>
          <w:p>
            <w:r/>
            <w:r>
              <w:rPr>
                <w:b w:val="0"/>
                <w:sz w:val="17"/>
              </w:rPr>
              <w:t>ACL/knee RTS commonly targets &gt;=90% LSI across hop tests plus clean landing and deceleration quality.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Common ACL gate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Sport-specific reactive tasks</w:t>
            </w:r>
          </w:p>
        </w:tc>
        <w:tc>
          <w:tcPr>
            <w:tcW w:type="dxa" w:w="5443"/>
            <w:vAlign w:val="top"/>
          </w:tcPr>
          <w:p>
            <w:r/>
            <w:r>
              <w:rPr>
                <w:b w:val="0"/>
                <w:sz w:val="17"/>
              </w:rPr>
              <w:t>Starts/stops, crossovers, puck pressure, battle posture, small-area games, contact, and dual-task reads tolerated.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Consensus / emerging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Psychological readiness</w:t>
            </w:r>
          </w:p>
        </w:tc>
        <w:tc>
          <w:tcPr>
            <w:tcW w:type="dxa" w:w="5443"/>
            <w:vAlign w:val="top"/>
          </w:tcPr>
          <w:p>
            <w:r/>
            <w:r>
              <w:rPr>
                <w:b w:val="0"/>
                <w:sz w:val="17"/>
              </w:rPr>
              <w:t>Confidence, fear of reinjury, ACL-RSI/IKDC or selected PROs acceptable for the planned exposure.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Strongest support in ACL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Workload tolerance</w:t>
            </w:r>
          </w:p>
        </w:tc>
        <w:tc>
          <w:tcPr>
            <w:tcW w:type="dxa" w:w="5443"/>
            <w:vAlign w:val="top"/>
          </w:tcPr>
          <w:p>
            <w:r/>
            <w:r>
              <w:rPr>
                <w:b w:val="0"/>
                <w:sz w:val="17"/>
              </w:rPr>
              <w:t>Progressive dose without load spike, symptom return, or 24 h regression.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Consensus / risk control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Evidence profile by injury lane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2041"/>
            <w:vAlign w:val="top"/>
            <w:shd w:fill="D9EAF7"/>
          </w:tcPr>
          <w:p>
            <w:r/>
            <w:r>
              <w:rPr>
                <w:b/>
                <w:sz w:val="17"/>
              </w:rPr>
              <w:t>Lane</w:t>
            </w:r>
          </w:p>
        </w:tc>
        <w:tc>
          <w:tcPr>
            <w:tcW w:type="dxa" w:w="5102"/>
            <w:vAlign w:val="top"/>
            <w:shd w:fill="D9EAF7"/>
          </w:tcPr>
          <w:p>
            <w:r/>
            <w:r>
              <w:rPr>
                <w:b/>
                <w:sz w:val="17"/>
              </w:rPr>
              <w:t>Best-supported gates</w:t>
            </w:r>
          </w:p>
        </w:tc>
        <w:tc>
          <w:tcPr>
            <w:tcW w:type="dxa" w:w="3061"/>
            <w:vAlign w:val="top"/>
            <w:shd w:fill="D9EAF7"/>
          </w:tcPr>
          <w:p>
            <w:r/>
            <w:r>
              <w:rPr>
                <w:b/>
                <w:sz w:val="17"/>
              </w:rPr>
              <w:t>Caution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ACL / knee</w:t>
            </w:r>
          </w:p>
        </w:tc>
        <w:tc>
          <w:tcPr>
            <w:tcW w:type="dxa" w:w="5102"/>
            <w:vAlign w:val="top"/>
          </w:tcPr>
          <w:p>
            <w:r/>
            <w:r>
              <w:rPr>
                <w:b w:val="0"/>
                <w:sz w:val="17"/>
              </w:rPr>
              <w:t>ROM, no instability, trace-to-zero effusion where used, &gt;=90% strength and hop/agility LSI, movement quality, readiness.</w:t>
            </w:r>
          </w:p>
        </w:tc>
        <w:tc>
          <w:tcPr>
            <w:tcW w:type="dxa" w:w="3061"/>
            <w:vAlign w:val="top"/>
          </w:tcPr>
          <w:p>
            <w:r/>
            <w:r>
              <w:rPr>
                <w:b w:val="0"/>
                <w:sz w:val="17"/>
              </w:rPr>
              <w:t>Strongest musculoskeletal standardization; clinician restrictions override field tests.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Concussion</w:t>
            </w:r>
          </w:p>
        </w:tc>
        <w:tc>
          <w:tcPr>
            <w:tcW w:type="dxa" w:w="5102"/>
            <w:vAlign w:val="top"/>
          </w:tcPr>
          <w:p>
            <w:r/>
            <w:r>
              <w:rPr>
                <w:b w:val="0"/>
                <w:sz w:val="17"/>
              </w:rPr>
              <w:t>Immediate removal, no same-day return, provider approval, six-step progression, at least 24 h per step, symptom-free.</w:t>
            </w:r>
          </w:p>
        </w:tc>
        <w:tc>
          <w:tcPr>
            <w:tcW w:type="dxa" w:w="3061"/>
            <w:vAlign w:val="top"/>
          </w:tcPr>
          <w:p>
            <w:r/>
            <w:r>
              <w:rPr>
                <w:b w:val="0"/>
                <w:sz w:val="17"/>
              </w:rPr>
              <w:t>Coach never clears concussion.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Lateral ankle</w:t>
            </w:r>
          </w:p>
        </w:tc>
        <w:tc>
          <w:tcPr>
            <w:tcW w:type="dxa" w:w="5102"/>
            <w:vAlign w:val="top"/>
          </w:tcPr>
          <w:p>
            <w:r/>
            <w:r>
              <w:rPr>
                <w:b w:val="0"/>
                <w:sz w:val="17"/>
              </w:rPr>
              <w:t>PAASS: pain, ankle impairments, athlete perception, sensorimotor control, sport performance.</w:t>
            </w:r>
          </w:p>
        </w:tc>
        <w:tc>
          <w:tcPr>
            <w:tcW w:type="dxa" w:w="3061"/>
            <w:vAlign w:val="top"/>
          </w:tcPr>
          <w:p>
            <w:r/>
            <w:r>
              <w:rPr>
                <w:b w:val="0"/>
                <w:sz w:val="17"/>
              </w:rPr>
              <w:t>Precise cutoffs are less settled than ACL.</w:t>
            </w:r>
          </w:p>
        </w:tc>
      </w:tr>
      <w:tr>
        <w:tc>
          <w:tcPr>
            <w:tcW w:type="dxa" w:w="2041"/>
            <w:vAlign w:val="top"/>
          </w:tcPr>
          <w:p>
            <w:r/>
            <w:r>
              <w:rPr>
                <w:b w:val="0"/>
                <w:sz w:val="17"/>
              </w:rPr>
              <w:t>Groin / hip / hamstring / shoulder / overload</w:t>
            </w:r>
          </w:p>
        </w:tc>
        <w:tc>
          <w:tcPr>
            <w:tcW w:type="dxa" w:w="5102"/>
            <w:vAlign w:val="top"/>
          </w:tcPr>
          <w:p>
            <w:r/>
            <w:r>
              <w:rPr>
                <w:b w:val="0"/>
                <w:sz w:val="17"/>
              </w:rPr>
              <w:t>Pain and 24 h response, strength/control, sport-specific speed/contact posture, fatigue tolerance, no compensation.</w:t>
            </w:r>
          </w:p>
        </w:tc>
        <w:tc>
          <w:tcPr>
            <w:tcW w:type="dxa" w:w="3061"/>
            <w:vAlign w:val="top"/>
          </w:tcPr>
          <w:p>
            <w:r/>
            <w:r>
              <w:rPr>
                <w:b w:val="0"/>
                <w:sz w:val="17"/>
              </w:rPr>
              <w:t>Use tests as progression gates, not isolated clearance.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Test battery families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1928"/>
            <w:vAlign w:val="top"/>
            <w:shd w:fill="D9EAF7"/>
          </w:tcPr>
          <w:p>
            <w:r/>
            <w:r>
              <w:rPr>
                <w:b/>
                <w:sz w:val="17"/>
              </w:rPr>
              <w:t>Family</w:t>
            </w:r>
          </w:p>
        </w:tc>
        <w:tc>
          <w:tcPr>
            <w:tcW w:type="dxa" w:w="4535"/>
            <w:vAlign w:val="top"/>
            <w:shd w:fill="D9EAF7"/>
          </w:tcPr>
          <w:p>
            <w:r/>
            <w:r>
              <w:rPr>
                <w:b/>
                <w:sz w:val="17"/>
              </w:rPr>
              <w:t>Examples</w:t>
            </w:r>
          </w:p>
        </w:tc>
        <w:tc>
          <w:tcPr>
            <w:tcW w:type="dxa" w:w="3742"/>
            <w:vAlign w:val="top"/>
            <w:shd w:fill="D9EAF7"/>
          </w:tcPr>
          <w:p>
            <w:r/>
            <w:r>
              <w:rPr>
                <w:b/>
                <w:sz w:val="17"/>
              </w:rPr>
              <w:t>Use</w:t>
            </w:r>
          </w:p>
        </w:tc>
      </w:tr>
      <w:tr>
        <w:tc>
          <w:tcPr>
            <w:tcW w:type="dxa" w:w="1928"/>
            <w:vAlign w:val="top"/>
          </w:tcPr>
          <w:p>
            <w:r/>
            <w:r>
              <w:rPr>
                <w:b w:val="0"/>
                <w:sz w:val="17"/>
              </w:rPr>
              <w:t>Symptoms/readiness</w:t>
            </w:r>
          </w:p>
        </w:tc>
        <w:tc>
          <w:tcPr>
            <w:tcW w:type="dxa" w:w="4535"/>
            <w:vAlign w:val="top"/>
          </w:tcPr>
          <w:p>
            <w:r/>
            <w:r>
              <w:rPr>
                <w:b w:val="0"/>
                <w:sz w:val="17"/>
              </w:rPr>
              <w:t>Pain 0-10, swelling/effusion, sleep, fatigue, confidence, fear of reinjury.</w:t>
            </w:r>
          </w:p>
        </w:tc>
        <w:tc>
          <w:tcPr>
            <w:tcW w:type="dxa" w:w="3742"/>
            <w:vAlign w:val="top"/>
          </w:tcPr>
          <w:p>
            <w:r/>
            <w:r>
              <w:rPr>
                <w:b w:val="0"/>
                <w:sz w:val="17"/>
              </w:rPr>
              <w:t>Daily trend gate for progress, hold, or regress.</w:t>
            </w:r>
          </w:p>
        </w:tc>
      </w:tr>
      <w:tr>
        <w:tc>
          <w:tcPr>
            <w:tcW w:type="dxa" w:w="1928"/>
            <w:vAlign w:val="top"/>
          </w:tcPr>
          <w:p>
            <w:r/>
            <w:r>
              <w:rPr>
                <w:b w:val="0"/>
                <w:sz w:val="17"/>
              </w:rPr>
              <w:t>Range/strength</w:t>
            </w:r>
          </w:p>
        </w:tc>
        <w:tc>
          <w:tcPr>
            <w:tcW w:type="dxa" w:w="4535"/>
            <w:vAlign w:val="top"/>
          </w:tcPr>
          <w:p>
            <w:r/>
            <w:r>
              <w:rPr>
                <w:b w:val="0"/>
                <w:sz w:val="17"/>
              </w:rPr>
              <w:t>ROM screen, handheld dynamometer, isokinetic test, NordBord, adductor squeeze.</w:t>
            </w:r>
          </w:p>
        </w:tc>
        <w:tc>
          <w:tcPr>
            <w:tcW w:type="dxa" w:w="3742"/>
            <w:vAlign w:val="top"/>
          </w:tcPr>
          <w:p>
            <w:r/>
            <w:r>
              <w:rPr>
                <w:b w:val="0"/>
                <w:sz w:val="17"/>
              </w:rPr>
              <w:t>Shows tissue capacity and side-to-side symmetry for the next phase.</w:t>
            </w:r>
          </w:p>
        </w:tc>
      </w:tr>
      <w:tr>
        <w:tc>
          <w:tcPr>
            <w:tcW w:type="dxa" w:w="1928"/>
            <w:vAlign w:val="top"/>
          </w:tcPr>
          <w:p>
            <w:r/>
            <w:r>
              <w:rPr>
                <w:b w:val="0"/>
                <w:sz w:val="17"/>
              </w:rPr>
              <w:t>Power/hop/agility</w:t>
            </w:r>
          </w:p>
        </w:tc>
        <w:tc>
          <w:tcPr>
            <w:tcW w:type="dxa" w:w="4535"/>
            <w:vAlign w:val="top"/>
          </w:tcPr>
          <w:p>
            <w:r/>
            <w:r>
              <w:rPr>
                <w:b w:val="0"/>
                <w:sz w:val="17"/>
              </w:rPr>
              <w:t>CMJ, single-leg hop, Y-balance, T-test, deceleration and COD quality.</w:t>
            </w:r>
          </w:p>
        </w:tc>
        <w:tc>
          <w:tcPr>
            <w:tcW w:type="dxa" w:w="3742"/>
            <w:vAlign w:val="top"/>
          </w:tcPr>
          <w:p>
            <w:r/>
            <w:r>
              <w:rPr>
                <w:b w:val="0"/>
                <w:sz w:val="17"/>
              </w:rPr>
              <w:t>Connects clinic capacity to hockey movement before full speed/contact.</w:t>
            </w:r>
          </w:p>
        </w:tc>
      </w:tr>
      <w:tr>
        <w:tc>
          <w:tcPr>
            <w:tcW w:type="dxa" w:w="1928"/>
            <w:vAlign w:val="top"/>
          </w:tcPr>
          <w:p>
            <w:r/>
            <w:r>
              <w:rPr>
                <w:b w:val="0"/>
                <w:sz w:val="17"/>
              </w:rPr>
              <w:t>Hockey transfer</w:t>
            </w:r>
          </w:p>
        </w:tc>
        <w:tc>
          <w:tcPr>
            <w:tcW w:type="dxa" w:w="4535"/>
            <w:vAlign w:val="top"/>
          </w:tcPr>
          <w:p>
            <w:r/>
            <w:r>
              <w:rPr>
                <w:b w:val="0"/>
                <w:sz w:val="17"/>
              </w:rPr>
              <w:t>Starts/stops, crossovers, battle posture, small-area non-contact, controlled contact.</w:t>
            </w:r>
          </w:p>
        </w:tc>
        <w:tc>
          <w:tcPr>
            <w:tcW w:type="dxa" w:w="3742"/>
            <w:vAlign w:val="top"/>
          </w:tcPr>
          <w:p>
            <w:r/>
            <w:r>
              <w:rPr>
                <w:b w:val="0"/>
                <w:sz w:val="17"/>
              </w:rPr>
              <w:t>Confirms skating, puck work, decisions, fatigue, and contact tolerance.</w:t>
            </w:r>
          </w:p>
        </w:tc>
      </w:tr>
    </w:tbl>
    <w:p>
      <w:r>
        <w:br w:type="page"/>
      </w:r>
    </w:p>
    <w:p>
      <w:pPr>
        <w:spacing w:before="160" w:after="80"/>
      </w:pPr>
      <w:r>
        <w:rPr>
          <w:b/>
          <w:color w:val="042240"/>
          <w:sz w:val="26"/>
        </w:rPr>
        <w:t>Wearable and load review triggers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1814"/>
            <w:vAlign w:val="top"/>
            <w:shd w:fill="D9EAF7"/>
          </w:tcPr>
          <w:p>
            <w:r/>
            <w:r>
              <w:rPr>
                <w:b/>
                <w:sz w:val="17"/>
              </w:rPr>
              <w:t>Signal</w:t>
            </w:r>
          </w:p>
        </w:tc>
        <w:tc>
          <w:tcPr>
            <w:tcW w:type="dxa" w:w="4535"/>
            <w:vAlign w:val="top"/>
            <w:shd w:fill="D9EAF7"/>
          </w:tcPr>
          <w:p>
            <w:r/>
            <w:r>
              <w:rPr>
                <w:b/>
                <w:sz w:val="17"/>
              </w:rPr>
              <w:t>Review trigger</w:t>
            </w:r>
          </w:p>
        </w:tc>
        <w:tc>
          <w:tcPr>
            <w:tcW w:type="dxa" w:w="3855"/>
            <w:vAlign w:val="top"/>
            <w:shd w:fill="D9EAF7"/>
          </w:tcPr>
          <w:p>
            <w:r/>
            <w:r>
              <w:rPr>
                <w:b/>
                <w:sz w:val="17"/>
              </w:rPr>
              <w:t>Action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External load spike</w:t>
            </w:r>
          </w:p>
        </w:tc>
        <w:tc>
          <w:tcPr>
            <w:tcW w:type="dxa" w:w="4535"/>
            <w:vAlign w:val="top"/>
          </w:tcPr>
          <w:p>
            <w:r/>
            <w:r>
              <w:rPr>
                <w:b w:val="0"/>
                <w:sz w:val="17"/>
              </w:rPr>
              <w:t>Skating volume, high-speed work, accelerations/decelerations, or player load above the current RTP band.</w:t>
            </w:r>
          </w:p>
        </w:tc>
        <w:tc>
          <w:tcPr>
            <w:tcW w:type="dxa" w:w="3855"/>
            <w:vAlign w:val="top"/>
          </w:tcPr>
          <w:p>
            <w:r/>
            <w:r>
              <w:rPr>
                <w:b w:val="0"/>
                <w:sz w:val="17"/>
              </w:rPr>
              <w:t>Hold progression and review 24 h response before adding another variable.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Internal load mismatch</w:t>
            </w:r>
          </w:p>
        </w:tc>
        <w:tc>
          <w:tcPr>
            <w:tcW w:type="dxa" w:w="4535"/>
            <w:vAlign w:val="top"/>
          </w:tcPr>
          <w:p>
            <w:r/>
            <w:r>
              <w:rPr>
                <w:b w:val="0"/>
                <w:sz w:val="17"/>
              </w:rPr>
              <w:t>sRPE, heart-rate response, soreness, or fatigue high for a low external dose.</w:t>
            </w:r>
          </w:p>
        </w:tc>
        <w:tc>
          <w:tcPr>
            <w:tcW w:type="dxa" w:w="3855"/>
            <w:vAlign w:val="top"/>
          </w:tcPr>
          <w:p>
            <w:r/>
            <w:r>
              <w:rPr>
                <w:b w:val="0"/>
                <w:sz w:val="17"/>
              </w:rPr>
              <w:t>Treat as yellow: lower complexity/volume and check sleep, stress, symptoms.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Asymmetry / quality drop</w:t>
            </w:r>
          </w:p>
        </w:tc>
        <w:tc>
          <w:tcPr>
            <w:tcW w:type="dxa" w:w="4535"/>
            <w:vAlign w:val="top"/>
          </w:tcPr>
          <w:p>
            <w:r/>
            <w:r>
              <w:rPr>
                <w:b w:val="0"/>
                <w:sz w:val="17"/>
              </w:rPr>
              <w:t>Wearable, force-plate, video, or coach observation shows side-to-side drift under fatigue.</w:t>
            </w:r>
          </w:p>
        </w:tc>
        <w:tc>
          <w:tcPr>
            <w:tcW w:type="dxa" w:w="3855"/>
            <w:vAlign w:val="top"/>
          </w:tcPr>
          <w:p>
            <w:r/>
            <w:r>
              <w:rPr>
                <w:b w:val="0"/>
                <w:sz w:val="17"/>
              </w:rPr>
              <w:t>Return to previous successful task and notify medical/performance owner.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Symptom return</w:t>
            </w:r>
          </w:p>
        </w:tc>
        <w:tc>
          <w:tcPr>
            <w:tcW w:type="dxa" w:w="4535"/>
            <w:vAlign w:val="top"/>
          </w:tcPr>
          <w:p>
            <w:r/>
            <w:r>
              <w:rPr>
                <w:b w:val="0"/>
                <w:sz w:val="17"/>
              </w:rPr>
              <w:t>Pain, swelling, neurological symptoms, or confidence drop appears during or within 24 h.</w:t>
            </w:r>
          </w:p>
        </w:tc>
        <w:tc>
          <w:tcPr>
            <w:tcW w:type="dxa" w:w="3855"/>
            <w:vAlign w:val="top"/>
          </w:tcPr>
          <w:p>
            <w:r/>
            <w:r>
              <w:rPr>
                <w:b w:val="0"/>
                <w:sz w:val="17"/>
              </w:rPr>
              <w:t>Stop added exposure; red if concussion symptoms or medical red flags are present.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Coach vs medical boundary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1814"/>
            <w:vAlign w:val="top"/>
            <w:shd w:fill="D9EAF7"/>
          </w:tcPr>
          <w:p>
            <w:r/>
            <w:r>
              <w:rPr>
                <w:b/>
                <w:sz w:val="17"/>
              </w:rPr>
              <w:t>Role</w:t>
            </w:r>
          </w:p>
        </w:tc>
        <w:tc>
          <w:tcPr>
            <w:tcW w:type="dxa" w:w="3969"/>
            <w:vAlign w:val="top"/>
            <w:shd w:fill="D9EAF7"/>
          </w:tcPr>
          <w:p>
            <w:r/>
            <w:r>
              <w:rPr>
                <w:b/>
                <w:sz w:val="17"/>
              </w:rPr>
              <w:t>Can do</w:t>
            </w:r>
          </w:p>
        </w:tc>
        <w:tc>
          <w:tcPr>
            <w:tcW w:type="dxa" w:w="3969"/>
            <w:vAlign w:val="top"/>
            <w:shd w:fill="D9EAF7"/>
          </w:tcPr>
          <w:p>
            <w:r/>
            <w:r>
              <w:rPr>
                <w:b/>
                <w:sz w:val="17"/>
              </w:rPr>
              <w:t>Cannot do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Coach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Remove/modify, observe, document, enforce restrictions.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Diagnose, clear concussion/surgery/fracture/major trauma, override restrictions.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Medical / physio / qualified performance staff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Diagnose, set phase restrictions, own high-risk clearance and persistent symptoms.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Leave restrictions invisible to the coach workflow.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Player / guardian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Report symptoms honestly, confirm next-day response, ask before contact.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Self-clear after concussion symptoms or worsening pain.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GlobeIce data fields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2608"/>
            <w:vAlign w:val="top"/>
            <w:shd w:fill="D9EAF7"/>
          </w:tcPr>
          <w:p>
            <w:r/>
            <w:r>
              <w:rPr>
                <w:b/>
                <w:sz w:val="17"/>
              </w:rPr>
              <w:t>Field</w:t>
            </w:r>
          </w:p>
        </w:tc>
        <w:tc>
          <w:tcPr>
            <w:tcW w:type="dxa" w:w="7710"/>
            <w:vAlign w:val="top"/>
            <w:shd w:fill="D9EAF7"/>
          </w:tcPr>
          <w:p>
            <w:r/>
            <w:r>
              <w:rPr>
                <w:b/>
                <w:sz w:val="17"/>
              </w:rPr>
              <w:t>Use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injury_type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concussion | knee | groin_hip_hamstring | shoulder_ac | ankle_foot | overload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rtp_phase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protect_control | restore_capacity | sport_specific | contact_competition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medical_clearance_state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not_required | pending | cleared_with_limits | cleared_full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symptom_score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0-10 symptom, pain, swelling, or confidence signal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next_day_response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green | yellow | red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strength_symmetry_pct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lower-limb strength gate where relevant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hop_agility_symmetry_pct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functional gate for knee, ankle, groin/hip, full speed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coach_decision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full | modified | non_contact | off_ice_only | hold | refer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test_battery_status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not_started | partial | passed | failed | clinician_override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wearable_trigger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none | external_spike | internal_mismatch | asymmetry | symptom_return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return_stage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participation | sport | performance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objective_gate_status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not_required | pending | partial | passed | failed | clinician_override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psych_readiness_score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ACL-RSI, confidence, or clinician-selected readiness score</w:t>
            </w:r>
          </w:p>
        </w:tc>
      </w:tr>
      <w:tr>
        <w:tc>
          <w:tcPr>
            <w:tcW w:type="dxa" w:w="2608"/>
            <w:vAlign w:val="top"/>
          </w:tcPr>
          <w:p>
            <w:r/>
            <w:r>
              <w:rPr>
                <w:b w:val="0"/>
                <w:sz w:val="17"/>
              </w:rPr>
              <w:t>sport_specific_gate_passed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true when hockey exposure is tolerated before contact/competition escalation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Training log template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74"/>
        <w:gridCol w:w="1374"/>
        <w:gridCol w:w="1374"/>
        <w:gridCol w:w="1374"/>
        <w:gridCol w:w="1374"/>
        <w:gridCol w:w="1374"/>
        <w:gridCol w:w="1374"/>
        <w:gridCol w:w="1374"/>
      </w:tblGrid>
      <w:tr>
        <w:tc>
          <w:tcPr>
            <w:tcW w:type="dxa" w:w="1134"/>
            <w:vAlign w:val="top"/>
            <w:shd w:fill="D9EAF7"/>
          </w:tcPr>
          <w:p>
            <w:r/>
            <w:r>
              <w:rPr>
                <w:b/>
                <w:sz w:val="17"/>
              </w:rPr>
              <w:t>Date</w:t>
            </w:r>
          </w:p>
        </w:tc>
        <w:tc>
          <w:tcPr>
            <w:tcW w:type="dxa" w:w="1417"/>
            <w:vAlign w:val="top"/>
            <w:shd w:fill="D9EAF7"/>
          </w:tcPr>
          <w:p>
            <w:r/>
            <w:r>
              <w:rPr>
                <w:b/>
                <w:sz w:val="17"/>
              </w:rPr>
              <w:t>Player</w:t>
            </w:r>
          </w:p>
        </w:tc>
        <w:tc>
          <w:tcPr>
            <w:tcW w:type="dxa" w:w="1474"/>
            <w:vAlign w:val="top"/>
            <w:shd w:fill="D9EAF7"/>
          </w:tcPr>
          <w:p>
            <w:r/>
            <w:r>
              <w:rPr>
                <w:b/>
                <w:sz w:val="17"/>
              </w:rPr>
              <w:t>Lane</w:t>
            </w:r>
          </w:p>
        </w:tc>
        <w:tc>
          <w:tcPr>
            <w:tcW w:type="dxa" w:w="1361"/>
            <w:vAlign w:val="top"/>
            <w:shd w:fill="D9EAF7"/>
          </w:tcPr>
          <w:p>
            <w:r/>
            <w:r>
              <w:rPr>
                <w:b/>
                <w:sz w:val="17"/>
              </w:rPr>
              <w:t>Phase</w:t>
            </w:r>
          </w:p>
        </w:tc>
        <w:tc>
          <w:tcPr>
            <w:tcW w:type="dxa" w:w="1247"/>
            <w:vAlign w:val="top"/>
            <w:shd w:fill="D9EAF7"/>
          </w:tcPr>
          <w:p>
            <w:r/>
            <w:r>
              <w:rPr>
                <w:b/>
                <w:sz w:val="17"/>
              </w:rPr>
              <w:t>Symptoms</w:t>
            </w:r>
          </w:p>
        </w:tc>
        <w:tc>
          <w:tcPr>
            <w:tcW w:type="dxa" w:w="1361"/>
            <w:vAlign w:val="top"/>
            <w:shd w:fill="D9EAF7"/>
          </w:tcPr>
          <w:p>
            <w:r/>
            <w:r>
              <w:rPr>
                <w:b/>
                <w:sz w:val="17"/>
              </w:rPr>
              <w:t>24 h response</w:t>
            </w:r>
          </w:p>
        </w:tc>
        <w:tc>
          <w:tcPr>
            <w:tcW w:type="dxa" w:w="1361"/>
            <w:vAlign w:val="top"/>
            <w:shd w:fill="D9EAF7"/>
          </w:tcPr>
          <w:p>
            <w:r/>
            <w:r>
              <w:rPr>
                <w:b/>
                <w:sz w:val="17"/>
              </w:rPr>
              <w:t>Decision</w:t>
            </w:r>
          </w:p>
        </w:tc>
        <w:tc>
          <w:tcPr>
            <w:tcW w:type="dxa" w:w="1247"/>
            <w:vAlign w:val="top"/>
            <w:shd w:fill="D9EAF7"/>
          </w:tcPr>
          <w:p>
            <w:r/>
            <w:r>
              <w:rPr>
                <w:b/>
                <w:sz w:val="17"/>
              </w:rPr>
              <w:t>Owner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1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1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1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1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Source notes</w:t>
      </w:r>
    </w:p>
    <w:p>
      <w:pPr>
        <w:pStyle w:val="ListBullet"/>
        <w:spacing w:after="20"/>
      </w:pPr>
      <w:r>
        <w:rPr>
          <w:sz w:val="18"/>
        </w:rPr>
        <w:t>CDC HEADS UP return-to-sports pathway: graduated, symptom-gated, provider-supervised concussion RTP.</w:t>
      </w:r>
    </w:p>
    <w:p>
      <w:pPr>
        <w:pStyle w:val="ListBullet"/>
        <w:spacing w:after="20"/>
      </w:pPr>
      <w:r>
        <w:rPr>
          <w:sz w:val="18"/>
        </w:rPr>
        <w:t>ACL RTP literature commonly uses strength, hop/agility, ROM, effusion, movement quality, and readiness rather than time alone.</w:t>
      </w:r>
    </w:p>
    <w:p>
      <w:pPr>
        <w:pStyle w:val="ListBullet"/>
        <w:spacing w:after="20"/>
      </w:pPr>
      <w:r>
        <w:rPr>
          <w:sz w:val="18"/>
        </w:rPr>
        <w:t>First World Congress in Sports Physical Therapy consensus separates return to participation, return to sport, and return to performance.</w:t>
      </w:r>
    </w:p>
    <w:p>
      <w:pPr>
        <w:pStyle w:val="ListBullet"/>
        <w:spacing w:after="20"/>
      </w:pPr>
      <w:r>
        <w:rPr>
          <w:sz w:val="18"/>
        </w:rPr>
        <w:t>Lateral ankle RTS can use PAASS domains as a structured gate map where precise cutoffs are not standardized.</w:t>
      </w:r>
    </w:p>
    <w:p>
      <w:pPr>
        <w:pStyle w:val="ListBullet"/>
        <w:spacing w:after="20"/>
      </w:pPr>
      <w:r>
        <w:rPr>
          <w:sz w:val="18"/>
        </w:rPr>
        <w:t>Soft-tissue, ankle, shoulder, and overload cases should progress from protected load to sport-specific exposure without next-day flare.</w:t>
      </w:r>
    </w:p>
    <w:sectPr w:rsidR="00FC693F" w:rsidRPr="0006063C" w:rsidSect="00034616">
      <w:pgSz w:w="12240" w:h="15840"/>
      <w:pgMar w:top="680" w:right="624" w:bottom="68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