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40"/>
        </w:rPr>
        <w:t>GlobeIce Tendon Load Decision Checklist</w:t>
      </w:r>
    </w:p>
    <w:p>
      <w:pPr>
        <w:spacing w:after="160"/>
        <w:jc w:val="center"/>
      </w:pPr>
      <w:r>
        <w:rPr>
          <w:rFonts w:ascii="Arial" w:hAnsi="Arial"/>
          <w:sz w:val="20"/>
        </w:rPr>
        <w:t>Coach-safe train / modify / refer gates for tendinopathy-style pain</w:t>
      </w:r>
    </w:p>
    <w:p>
      <w:pPr>
        <w:spacing w:after="80" w:line="252" w:lineRule="auto"/>
      </w:pPr>
      <w:r>
        <w:rPr>
          <w:rFonts w:ascii="Arial" w:hAnsi="Arial"/>
          <w:sz w:val="17"/>
        </w:rPr>
        <w:t>Use this beside daily readiness, recovery, and load monitoring. It supports coach decisions about training modification and referral signals; it is not a diagnosis, medical clearance, or replacement for qualified clinical assessment.</w:t>
      </w:r>
    </w:p>
    <w:p>
      <w:pPr>
        <w:spacing w:after="80"/>
      </w:pPr>
      <w:r>
        <w:rPr>
          <w:rFonts w:ascii="Arial" w:hAnsi="Arial"/>
          <w:b/>
          <w:sz w:val="26"/>
        </w:rPr>
        <w:t>1. Quick input row</w:t>
      </w:r>
    </w:p>
    <w:tbl>
      <w:tblPr>
        <w:tblW w:type="auto" w:w="0"/>
        <w:jc w:val="center"/>
        <w:tblLayout w:type="autofit"/>
        <w:tblLook w:firstColumn="1" w:firstRow="1" w:lastColumn="0" w:lastRow="0" w:noHBand="0" w:noVBand="1" w:val="04A0"/>
        <w:tblBorders>
          <w:top w:val="single" w:sz="4" w:space="0" w:color="D7DEE8"/>
          <w:left w:val="single" w:sz="4" w:space="0" w:color="D7DEE8"/>
          <w:bottom w:val="single" w:sz="4" w:space="0" w:color="D7DEE8"/>
          <w:right w:val="single" w:sz="4" w:space="0" w:color="D7DEE8"/>
          <w:insideH w:val="single" w:sz="4" w:space="0" w:color="D7DEE8"/>
          <w:insideV w:val="single" w:sz="4" w:space="0" w:color="D7DEE8"/>
        </w:tblBorders>
      </w:tblPr>
      <w:tblGrid>
        <w:gridCol w:w="3581"/>
        <w:gridCol w:w="3581"/>
        <w:gridCol w:w="3581"/>
      </w:tblGrid>
      <w:tr>
        <w:tc>
          <w:tcPr>
            <w:tcW w:type="dxa" w:w="2448"/>
            <w:vAlign w:val="center"/>
            <w:shd w:fill="E9F0F7"/>
          </w:tcPr>
          <w:p>
            <w:pPr>
              <w:jc w:val="left"/>
            </w:pPr>
            <w:r/>
            <w:r>
              <w:rPr>
                <w:b/>
                <w:sz w:val="16"/>
              </w:rPr>
              <w:t>Field</w:t>
            </w:r>
          </w:p>
        </w:tc>
        <w:tc>
          <w:tcPr>
            <w:tcW w:type="dxa" w:w="1800"/>
            <w:vAlign w:val="center"/>
            <w:shd w:fill="E9F0F7"/>
          </w:tcPr>
          <w:p>
            <w:pPr>
              <w:jc w:val="left"/>
            </w:pPr>
            <w:r/>
            <w:r>
              <w:rPr>
                <w:b/>
                <w:sz w:val="16"/>
              </w:rPr>
              <w:t>Coach entry</w:t>
            </w:r>
          </w:p>
        </w:tc>
        <w:tc>
          <w:tcPr>
            <w:tcW w:type="dxa" w:w="5976"/>
            <w:vAlign w:val="center"/>
            <w:shd w:fill="E9F0F7"/>
          </w:tcPr>
          <w:p>
            <w:pPr>
              <w:jc w:val="left"/>
            </w:pPr>
            <w:r/>
            <w:r>
              <w:rPr>
                <w:b/>
                <w:sz w:val="16"/>
              </w:rPr>
              <w:t>Decision use</w:t>
            </w:r>
          </w:p>
        </w:tc>
      </w:tr>
      <w:tr>
        <w:tc>
          <w:tcPr>
            <w:tcW w:type="dxa" w:w="2448"/>
            <w:vAlign w:val="center"/>
          </w:tcPr>
          <w:p>
            <w:pPr>
              <w:jc w:val="left"/>
            </w:pPr>
            <w:r/>
            <w:r>
              <w:rPr>
                <w:b w:val="0"/>
                <w:sz w:val="15"/>
              </w:rPr>
              <w:t>Pain during activity 0-10</w:t>
            </w:r>
          </w:p>
        </w:tc>
        <w:tc>
          <w:tcPr>
            <w:tcW w:type="dxa" w:w="1800"/>
            <w:vAlign w:val="center"/>
          </w:tcPr>
          <w:p>
            <w:pPr>
              <w:jc w:val="left"/>
            </w:pPr>
            <w:r/>
            <w:r>
              <w:rPr>
                <w:b w:val="0"/>
                <w:sz w:val="15"/>
              </w:rPr>
              <w:t>____ / 10</w:t>
            </w:r>
          </w:p>
        </w:tc>
        <w:tc>
          <w:tcPr>
            <w:tcW w:type="dxa" w:w="5976"/>
            <w:vAlign w:val="center"/>
          </w:tcPr>
          <w:p>
            <w:pPr>
              <w:jc w:val="left"/>
            </w:pPr>
            <w:r/>
            <w:r>
              <w:rPr>
                <w:b w:val="0"/>
                <w:sz w:val="15"/>
              </w:rPr>
              <w:t>0-3 can continue with monitoring; 4 modifies; 5+ refers/holds high load.</w:t>
            </w:r>
          </w:p>
        </w:tc>
      </w:tr>
      <w:tr>
        <w:tc>
          <w:tcPr>
            <w:tcW w:type="dxa" w:w="2448"/>
            <w:vAlign w:val="center"/>
          </w:tcPr>
          <w:p>
            <w:pPr>
              <w:jc w:val="left"/>
            </w:pPr>
            <w:r/>
            <w:r>
              <w:rPr>
                <w:b w:val="0"/>
                <w:sz w:val="15"/>
              </w:rPr>
              <w:t>Next-day pain change</w:t>
            </w:r>
          </w:p>
        </w:tc>
        <w:tc>
          <w:tcPr>
            <w:tcW w:type="dxa" w:w="1800"/>
            <w:vAlign w:val="center"/>
          </w:tcPr>
          <w:p>
            <w:pPr>
              <w:jc w:val="left"/>
            </w:pPr>
            <w:r/>
            <w:r>
              <w:rPr>
                <w:b w:val="0"/>
                <w:sz w:val="15"/>
              </w:rPr>
              <w:t>____ / 10</w:t>
            </w:r>
          </w:p>
        </w:tc>
        <w:tc>
          <w:tcPr>
            <w:tcW w:type="dxa" w:w="5976"/>
            <w:vAlign w:val="center"/>
          </w:tcPr>
          <w:p>
            <w:pPr>
              <w:jc w:val="left"/>
            </w:pPr>
            <w:r/>
            <w:r>
              <w:rPr>
                <w:b w:val="0"/>
                <w:sz w:val="15"/>
              </w:rPr>
              <w:t>&gt;2/10 above baseline means last dose was too high.</w:t>
            </w:r>
          </w:p>
        </w:tc>
      </w:tr>
      <w:tr>
        <w:tc>
          <w:tcPr>
            <w:tcW w:type="dxa" w:w="2448"/>
            <w:vAlign w:val="center"/>
          </w:tcPr>
          <w:p>
            <w:pPr>
              <w:jc w:val="left"/>
            </w:pPr>
            <w:r/>
            <w:r>
              <w:rPr>
                <w:b w:val="0"/>
                <w:sz w:val="15"/>
              </w:rPr>
              <w:t>Single-leg squat pain</w:t>
            </w:r>
          </w:p>
        </w:tc>
        <w:tc>
          <w:tcPr>
            <w:tcW w:type="dxa" w:w="1800"/>
            <w:vAlign w:val="center"/>
          </w:tcPr>
          <w:p>
            <w:pPr>
              <w:jc w:val="left"/>
            </w:pPr>
            <w:r/>
            <w:r>
              <w:rPr>
                <w:b w:val="0"/>
                <w:sz w:val="15"/>
              </w:rPr>
              <w:t>____ / 10</w:t>
            </w:r>
          </w:p>
        </w:tc>
        <w:tc>
          <w:tcPr>
            <w:tcW w:type="dxa" w:w="5976"/>
            <w:vAlign w:val="center"/>
          </w:tcPr>
          <w:p>
            <w:pPr>
              <w:jc w:val="left"/>
            </w:pPr>
            <w:r/>
            <w:r>
              <w:rPr>
                <w:b w:val="0"/>
                <w:sz w:val="15"/>
              </w:rPr>
              <w:t>&gt;3/10 means modify the next tendon-heavy block.</w:t>
            </w:r>
          </w:p>
        </w:tc>
      </w:tr>
      <w:tr>
        <w:tc>
          <w:tcPr>
            <w:tcW w:type="dxa" w:w="2448"/>
            <w:vAlign w:val="center"/>
          </w:tcPr>
          <w:p>
            <w:pPr>
              <w:jc w:val="left"/>
            </w:pPr>
            <w:r/>
            <w:r>
              <w:rPr>
                <w:b w:val="0"/>
                <w:sz w:val="15"/>
              </w:rPr>
              <w:t>Hop symmetry</w:t>
            </w:r>
          </w:p>
        </w:tc>
        <w:tc>
          <w:tcPr>
            <w:tcW w:type="dxa" w:w="1800"/>
            <w:vAlign w:val="center"/>
          </w:tcPr>
          <w:p>
            <w:pPr>
              <w:jc w:val="left"/>
            </w:pPr>
            <w:r/>
            <w:r>
              <w:rPr>
                <w:b w:val="0"/>
                <w:sz w:val="15"/>
              </w:rPr>
              <w:t>____ %</w:t>
            </w:r>
          </w:p>
        </w:tc>
        <w:tc>
          <w:tcPr>
            <w:tcW w:type="dxa" w:w="5976"/>
            <w:vAlign w:val="center"/>
          </w:tcPr>
          <w:p>
            <w:pPr>
              <w:jc w:val="left"/>
            </w:pPr>
            <w:r/>
            <w:r>
              <w:rPr>
                <w:b w:val="0"/>
                <w:sz w:val="15"/>
              </w:rPr>
              <w:t>&lt;90% keeps return-to-sport work modified or clinician-led.</w:t>
            </w:r>
          </w:p>
        </w:tc>
      </w:tr>
      <w:tr>
        <w:tc>
          <w:tcPr>
            <w:tcW w:type="dxa" w:w="2448"/>
            <w:vAlign w:val="center"/>
          </w:tcPr>
          <w:p>
            <w:pPr>
              <w:jc w:val="left"/>
            </w:pPr>
            <w:r/>
            <w:r>
              <w:rPr>
                <w:b w:val="0"/>
                <w:sz w:val="15"/>
              </w:rPr>
              <w:t>Trendelenburg / control sign</w:t>
            </w:r>
          </w:p>
        </w:tc>
        <w:tc>
          <w:tcPr>
            <w:tcW w:type="dxa" w:w="1800"/>
            <w:vAlign w:val="center"/>
          </w:tcPr>
          <w:p>
            <w:pPr>
              <w:jc w:val="left"/>
            </w:pPr>
            <w:r/>
            <w:r>
              <w:rPr>
                <w:b w:val="0"/>
                <w:sz w:val="15"/>
              </w:rPr>
              <w:t>Yes / No</w:t>
            </w:r>
          </w:p>
        </w:tc>
        <w:tc>
          <w:tcPr>
            <w:tcW w:type="dxa" w:w="5976"/>
            <w:vAlign w:val="center"/>
          </w:tcPr>
          <w:p>
            <w:pPr>
              <w:jc w:val="left"/>
            </w:pPr>
            <w:r/>
            <w:r>
              <w:rPr>
                <w:b w:val="0"/>
                <w:sz w:val="15"/>
              </w:rPr>
              <w:t>Pelvis drop, limp, trunk shift, or mechanics change triggers modification.</w:t>
            </w:r>
          </w:p>
        </w:tc>
      </w:tr>
      <w:tr>
        <w:tc>
          <w:tcPr>
            <w:tcW w:type="dxa" w:w="2448"/>
            <w:vAlign w:val="center"/>
          </w:tcPr>
          <w:p>
            <w:pPr>
              <w:jc w:val="left"/>
            </w:pPr>
            <w:r/>
            <w:r>
              <w:rPr>
                <w:b w:val="0"/>
                <w:sz w:val="15"/>
              </w:rPr>
              <w:t>Red flags</w:t>
            </w:r>
          </w:p>
        </w:tc>
        <w:tc>
          <w:tcPr>
            <w:tcW w:type="dxa" w:w="1800"/>
            <w:vAlign w:val="center"/>
          </w:tcPr>
          <w:p>
            <w:pPr>
              <w:jc w:val="left"/>
            </w:pPr>
            <w:r/>
            <w:r>
              <w:rPr>
                <w:b w:val="0"/>
                <w:sz w:val="15"/>
              </w:rPr>
              <w:t>Yes / No</w:t>
            </w:r>
          </w:p>
        </w:tc>
        <w:tc>
          <w:tcPr>
            <w:tcW w:type="dxa" w:w="5976"/>
            <w:vAlign w:val="center"/>
          </w:tcPr>
          <w:p>
            <w:pPr>
              <w:jc w:val="left"/>
            </w:pPr>
            <w:r/>
            <w:r>
              <w:rPr>
                <w:b w:val="0"/>
                <w:sz w:val="15"/>
              </w:rPr>
              <w:t>Trauma, rapid worsening, neurologic signs, systemic symptoms, or night pain = refer.</w:t>
            </w:r>
          </w:p>
        </w:tc>
      </w:tr>
    </w:tbl>
    <w:p>
      <w:pPr>
        <w:spacing w:after="40"/>
      </w:pPr>
    </w:p>
    <w:p>
      <w:pPr>
        <w:spacing w:after="80"/>
      </w:pPr>
      <w:r>
        <w:rPr>
          <w:rFonts w:ascii="Arial" w:hAnsi="Arial"/>
          <w:b/>
          <w:sz w:val="26"/>
        </w:rPr>
        <w:t>2. Decision gates</w:t>
      </w:r>
    </w:p>
    <w:tbl>
      <w:tblPr>
        <w:tblW w:type="auto" w:w="0"/>
        <w:jc w:val="center"/>
        <w:tblLayout w:type="autofit"/>
        <w:tblLook w:firstColumn="1" w:firstRow="1" w:lastColumn="0" w:lastRow="0" w:noHBand="0" w:noVBand="1" w:val="04A0"/>
        <w:tblBorders>
          <w:top w:val="single" w:sz="4" w:space="0" w:color="D7DEE8"/>
          <w:left w:val="single" w:sz="4" w:space="0" w:color="D7DEE8"/>
          <w:bottom w:val="single" w:sz="4" w:space="0" w:color="D7DEE8"/>
          <w:right w:val="single" w:sz="4" w:space="0" w:color="D7DEE8"/>
          <w:insideH w:val="single" w:sz="4" w:space="0" w:color="D7DEE8"/>
          <w:insideV w:val="single" w:sz="4" w:space="0" w:color="D7DEE8"/>
        </w:tblBorders>
      </w:tblPr>
      <w:tblGrid>
        <w:gridCol w:w="3581"/>
        <w:gridCol w:w="3581"/>
        <w:gridCol w:w="3581"/>
      </w:tblGrid>
      <w:tr>
        <w:tc>
          <w:tcPr>
            <w:tcW w:type="dxa" w:w="1800"/>
            <w:vAlign w:val="center"/>
            <w:shd w:fill="E9F0F7"/>
          </w:tcPr>
          <w:p>
            <w:pPr>
              <w:jc w:val="left"/>
            </w:pPr>
            <w:r/>
            <w:r>
              <w:rPr>
                <w:b/>
                <w:sz w:val="16"/>
              </w:rPr>
              <w:t>Gate</w:t>
            </w:r>
          </w:p>
        </w:tc>
        <w:tc>
          <w:tcPr>
            <w:tcW w:type="dxa" w:w="4608"/>
            <w:vAlign w:val="center"/>
            <w:shd w:fill="E9F0F7"/>
          </w:tcPr>
          <w:p>
            <w:pPr>
              <w:jc w:val="left"/>
            </w:pPr>
            <w:r/>
            <w:r>
              <w:rPr>
                <w:b/>
                <w:sz w:val="16"/>
              </w:rPr>
              <w:t>Criteria</w:t>
            </w:r>
          </w:p>
        </w:tc>
        <w:tc>
          <w:tcPr>
            <w:tcW w:type="dxa" w:w="4392"/>
            <w:vAlign w:val="center"/>
            <w:shd w:fill="E9F0F7"/>
          </w:tcPr>
          <w:p>
            <w:pPr>
              <w:jc w:val="left"/>
            </w:pPr>
            <w:r/>
            <w:r>
              <w:rPr>
                <w:b/>
                <w:sz w:val="16"/>
              </w:rPr>
              <w:t>Coach action</w:t>
            </w:r>
          </w:p>
        </w:tc>
      </w:tr>
      <w:tr>
        <w:tc>
          <w:tcPr>
            <w:tcW w:type="dxa" w:w="1800"/>
            <w:vAlign w:val="center"/>
          </w:tcPr>
          <w:p>
            <w:pPr>
              <w:jc w:val="left"/>
            </w:pPr>
            <w:r/>
            <w:r>
              <w:rPr>
                <w:b w:val="0"/>
                <w:sz w:val="15"/>
              </w:rPr>
              <w:t>Green - can train</w:t>
            </w:r>
          </w:p>
        </w:tc>
        <w:tc>
          <w:tcPr>
            <w:tcW w:type="dxa" w:w="4608"/>
            <w:vAlign w:val="center"/>
          </w:tcPr>
          <w:p>
            <w:pPr>
              <w:jc w:val="left"/>
            </w:pPr>
            <w:r/>
            <w:r>
              <w:rPr>
                <w:b w:val="0"/>
                <w:sz w:val="15"/>
              </w:rPr>
              <w:t>Pain &lt;=3/10, stable 24 h response, no mechanics change, basic function clear.</w:t>
            </w:r>
          </w:p>
        </w:tc>
        <w:tc>
          <w:tcPr>
            <w:tcW w:type="dxa" w:w="4392"/>
            <w:vAlign w:val="center"/>
          </w:tcPr>
          <w:p>
            <w:pPr>
              <w:jc w:val="left"/>
            </w:pPr>
            <w:r/>
            <w:r>
              <w:rPr>
                <w:b w:val="0"/>
                <w:sz w:val="15"/>
              </w:rPr>
              <w:t>Run planned work or progress one variable only. Keep the next-day check visible.</w:t>
            </w:r>
          </w:p>
        </w:tc>
      </w:tr>
      <w:tr>
        <w:tc>
          <w:tcPr>
            <w:tcW w:type="dxa" w:w="1800"/>
            <w:vAlign w:val="center"/>
          </w:tcPr>
          <w:p>
            <w:pPr>
              <w:jc w:val="left"/>
            </w:pPr>
            <w:r/>
            <w:r>
              <w:rPr>
                <w:b w:val="0"/>
                <w:sz w:val="15"/>
              </w:rPr>
              <w:t>Yellow - modify</w:t>
            </w:r>
          </w:p>
        </w:tc>
        <w:tc>
          <w:tcPr>
            <w:tcW w:type="dxa" w:w="4608"/>
            <w:vAlign w:val="center"/>
          </w:tcPr>
          <w:p>
            <w:pPr>
              <w:jc w:val="left"/>
            </w:pPr>
            <w:r/>
            <w:r>
              <w:rPr>
                <w:b w:val="0"/>
                <w:sz w:val="15"/>
              </w:rPr>
              <w:t>Pain =4/10, symptoms persist &gt;24 h, next-day pain &gt;2/10 above baseline, squat pain &gt;3/10, hop &lt;90%, or Trendelenburg.</w:t>
            </w:r>
          </w:p>
        </w:tc>
        <w:tc>
          <w:tcPr>
            <w:tcW w:type="dxa" w:w="4392"/>
            <w:vAlign w:val="center"/>
          </w:tcPr>
          <w:p>
            <w:pPr>
              <w:jc w:val="left"/>
            </w:pPr>
            <w:r/>
            <w:r>
              <w:rPr>
                <w:b w:val="0"/>
                <w:sz w:val="15"/>
              </w:rPr>
              <w:t>Reduce tendon-heavy work 20-30%, remove peak intensity, use tolerated isometrics or slow isotonic work.</w:t>
            </w:r>
          </w:p>
        </w:tc>
      </w:tr>
      <w:tr>
        <w:tc>
          <w:tcPr>
            <w:tcW w:type="dxa" w:w="1800"/>
            <w:vAlign w:val="center"/>
          </w:tcPr>
          <w:p>
            <w:pPr>
              <w:jc w:val="left"/>
            </w:pPr>
            <w:r/>
            <w:r>
              <w:rPr>
                <w:b w:val="0"/>
                <w:sz w:val="15"/>
              </w:rPr>
              <w:t>Red - refer/hold</w:t>
            </w:r>
          </w:p>
        </w:tc>
        <w:tc>
          <w:tcPr>
            <w:tcW w:type="dxa" w:w="4608"/>
            <w:vAlign w:val="center"/>
          </w:tcPr>
          <w:p>
            <w:pPr>
              <w:jc w:val="left"/>
            </w:pPr>
            <w:r/>
            <w:r>
              <w:rPr>
                <w:b w:val="0"/>
                <w:sz w:val="15"/>
              </w:rPr>
              <w:t>Pain &gt;=5/10, trauma, rapid worsening, neurologic signs, systemic symptoms, night pain, or pain plus changed mechanics.</w:t>
            </w:r>
          </w:p>
        </w:tc>
        <w:tc>
          <w:tcPr>
            <w:tcW w:type="dxa" w:w="4392"/>
            <w:vAlign w:val="center"/>
          </w:tcPr>
          <w:p>
            <w:pPr>
              <w:jc w:val="left"/>
            </w:pPr>
            <w:r/>
            <w:r>
              <w:rPr>
                <w:b w:val="0"/>
                <w:sz w:val="15"/>
              </w:rPr>
              <w:t>Stop sprint/cut/jump/high-load layers. Log the signal and hand off to medical or physio owner.</w:t>
            </w:r>
          </w:p>
        </w:tc>
      </w:tr>
    </w:tbl>
    <w:p>
      <w:pPr>
        <w:spacing w:after="40"/>
      </w:pPr>
    </w:p>
    <w:p>
      <w:r>
        <w:br w:type="page"/>
      </w:r>
    </w:p>
    <w:p>
      <w:pPr>
        <w:spacing w:after="80"/>
      </w:pPr>
      <w:r>
        <w:rPr>
          <w:rFonts w:ascii="Arial" w:hAnsi="Arial"/>
          <w:b/>
          <w:sz w:val="26"/>
        </w:rPr>
        <w:t>3. 7 day micro-progression</w:t>
      </w:r>
    </w:p>
    <w:tbl>
      <w:tblPr>
        <w:tblW w:type="auto" w:w="0"/>
        <w:jc w:val="center"/>
        <w:tblLayout w:type="autofit"/>
        <w:tblLook w:firstColumn="1" w:firstRow="1" w:lastColumn="0" w:lastRow="0" w:noHBand="0" w:noVBand="1" w:val="04A0"/>
        <w:tblBorders>
          <w:top w:val="single" w:sz="4" w:space="0" w:color="D7DEE8"/>
          <w:left w:val="single" w:sz="4" w:space="0" w:color="D7DEE8"/>
          <w:bottom w:val="single" w:sz="4" w:space="0" w:color="D7DEE8"/>
          <w:right w:val="single" w:sz="4" w:space="0" w:color="D7DEE8"/>
          <w:insideH w:val="single" w:sz="4" w:space="0" w:color="D7DEE8"/>
          <w:insideV w:val="single" w:sz="4" w:space="0" w:color="D7DEE8"/>
        </w:tblBorders>
      </w:tblPr>
      <w:tblGrid>
        <w:gridCol w:w="2685"/>
        <w:gridCol w:w="2685"/>
        <w:gridCol w:w="2685"/>
        <w:gridCol w:w="2685"/>
      </w:tblGrid>
      <w:tr>
        <w:tc>
          <w:tcPr>
            <w:tcW w:type="dxa" w:w="648"/>
            <w:vAlign w:val="center"/>
            <w:shd w:fill="E9F0F7"/>
          </w:tcPr>
          <w:p>
            <w:pPr>
              <w:jc w:val="left"/>
            </w:pPr>
            <w:r/>
            <w:r>
              <w:rPr>
                <w:b/>
                <w:sz w:val="16"/>
              </w:rPr>
              <w:t>Day</w:t>
            </w:r>
          </w:p>
        </w:tc>
        <w:tc>
          <w:tcPr>
            <w:tcW w:type="dxa" w:w="1944"/>
            <w:vAlign w:val="center"/>
            <w:shd w:fill="E9F0F7"/>
          </w:tcPr>
          <w:p>
            <w:pPr>
              <w:jc w:val="left"/>
            </w:pPr>
            <w:r/>
            <w:r>
              <w:rPr>
                <w:b/>
                <w:sz w:val="16"/>
              </w:rPr>
              <w:t>Focus</w:t>
            </w:r>
          </w:p>
        </w:tc>
        <w:tc>
          <w:tcPr>
            <w:tcW w:type="dxa" w:w="4320"/>
            <w:vAlign w:val="center"/>
            <w:shd w:fill="E9F0F7"/>
          </w:tcPr>
          <w:p>
            <w:pPr>
              <w:jc w:val="left"/>
            </w:pPr>
            <w:r/>
            <w:r>
              <w:rPr>
                <w:b/>
                <w:sz w:val="16"/>
              </w:rPr>
              <w:t>Dose</w:t>
            </w:r>
          </w:p>
        </w:tc>
        <w:tc>
          <w:tcPr>
            <w:tcW w:type="dxa" w:w="3528"/>
            <w:vAlign w:val="center"/>
            <w:shd w:fill="E9F0F7"/>
          </w:tcPr>
          <w:p>
            <w:pPr>
              <w:jc w:val="left"/>
            </w:pPr>
            <w:r/>
            <w:r>
              <w:rPr>
                <w:b/>
                <w:sz w:val="16"/>
              </w:rPr>
              <w:t>Gate</w:t>
            </w:r>
          </w:p>
        </w:tc>
      </w:tr>
      <w:tr>
        <w:tc>
          <w:tcPr>
            <w:tcW w:type="dxa" w:w="648"/>
            <w:vAlign w:val="center"/>
          </w:tcPr>
          <w:p>
            <w:pPr>
              <w:jc w:val="left"/>
            </w:pPr>
            <w:r/>
            <w:r>
              <w:rPr>
                <w:b w:val="0"/>
                <w:sz w:val="15"/>
              </w:rPr>
              <w:t>1</w:t>
            </w:r>
          </w:p>
        </w:tc>
        <w:tc>
          <w:tcPr>
            <w:tcW w:type="dxa" w:w="1944"/>
            <w:vAlign w:val="center"/>
          </w:tcPr>
          <w:p>
            <w:pPr>
              <w:jc w:val="left"/>
            </w:pPr>
            <w:r/>
            <w:r>
              <w:rPr>
                <w:b w:val="0"/>
                <w:sz w:val="15"/>
              </w:rPr>
              <w:t>Settle and measure</w:t>
            </w:r>
          </w:p>
        </w:tc>
        <w:tc>
          <w:tcPr>
            <w:tcW w:type="dxa" w:w="4320"/>
            <w:vAlign w:val="center"/>
          </w:tcPr>
          <w:p>
            <w:pPr>
              <w:jc w:val="left"/>
            </w:pPr>
            <w:r/>
            <w:r>
              <w:rPr>
                <w:b w:val="0"/>
                <w:sz w:val="15"/>
              </w:rPr>
              <w:t>Isometrics 3-5 x 30-45 s, moderate-to-hard effort, pain &lt;=3/10.</w:t>
            </w:r>
          </w:p>
        </w:tc>
        <w:tc>
          <w:tcPr>
            <w:tcW w:type="dxa" w:w="3528"/>
            <w:vAlign w:val="center"/>
          </w:tcPr>
          <w:p>
            <w:pPr>
              <w:jc w:val="left"/>
            </w:pPr>
            <w:r/>
            <w:r>
              <w:rPr>
                <w:b w:val="0"/>
                <w:sz w:val="15"/>
              </w:rPr>
              <w:t>Log pain during and 24 h response.</w:t>
            </w:r>
          </w:p>
        </w:tc>
      </w:tr>
      <w:tr>
        <w:tc>
          <w:tcPr>
            <w:tcW w:type="dxa" w:w="648"/>
            <w:vAlign w:val="center"/>
          </w:tcPr>
          <w:p>
            <w:pPr>
              <w:jc w:val="left"/>
            </w:pPr>
            <w:r/>
            <w:r>
              <w:rPr>
                <w:b w:val="0"/>
                <w:sz w:val="15"/>
              </w:rPr>
              <w:t>2</w:t>
            </w:r>
          </w:p>
        </w:tc>
        <w:tc>
          <w:tcPr>
            <w:tcW w:type="dxa" w:w="1944"/>
            <w:vAlign w:val="center"/>
          </w:tcPr>
          <w:p>
            <w:pPr>
              <w:jc w:val="left"/>
            </w:pPr>
            <w:r/>
            <w:r>
              <w:rPr>
                <w:b w:val="0"/>
                <w:sz w:val="15"/>
              </w:rPr>
              <w:t>Repeat tolerated load</w:t>
            </w:r>
          </w:p>
        </w:tc>
        <w:tc>
          <w:tcPr>
            <w:tcW w:type="dxa" w:w="4320"/>
            <w:vAlign w:val="center"/>
          </w:tcPr>
          <w:p>
            <w:pPr>
              <w:jc w:val="left"/>
            </w:pPr>
            <w:r/>
            <w:r>
              <w:rPr>
                <w:b w:val="0"/>
                <w:sz w:val="15"/>
              </w:rPr>
              <w:t>Repeat holds or reduce volume 20-30% if 24 h response worsened.</w:t>
            </w:r>
          </w:p>
        </w:tc>
        <w:tc>
          <w:tcPr>
            <w:tcW w:type="dxa" w:w="3528"/>
            <w:vAlign w:val="center"/>
          </w:tcPr>
          <w:p>
            <w:pPr>
              <w:jc w:val="left"/>
            </w:pPr>
            <w:r/>
            <w:r>
              <w:rPr>
                <w:b w:val="0"/>
                <w:sz w:val="15"/>
              </w:rPr>
              <w:t>Progress only if pain and stiffness are same/better.</w:t>
            </w:r>
          </w:p>
        </w:tc>
      </w:tr>
      <w:tr>
        <w:tc>
          <w:tcPr>
            <w:tcW w:type="dxa" w:w="648"/>
            <w:vAlign w:val="center"/>
          </w:tcPr>
          <w:p>
            <w:pPr>
              <w:jc w:val="left"/>
            </w:pPr>
            <w:r/>
            <w:r>
              <w:rPr>
                <w:b w:val="0"/>
                <w:sz w:val="15"/>
              </w:rPr>
              <w:t>3</w:t>
            </w:r>
          </w:p>
        </w:tc>
        <w:tc>
          <w:tcPr>
            <w:tcW w:type="dxa" w:w="1944"/>
            <w:vAlign w:val="center"/>
          </w:tcPr>
          <w:p>
            <w:pPr>
              <w:jc w:val="left"/>
            </w:pPr>
            <w:r/>
            <w:r>
              <w:rPr>
                <w:b w:val="0"/>
                <w:sz w:val="15"/>
              </w:rPr>
              <w:t>Slow isotonic entry</w:t>
            </w:r>
          </w:p>
        </w:tc>
        <w:tc>
          <w:tcPr>
            <w:tcW w:type="dxa" w:w="4320"/>
            <w:vAlign w:val="center"/>
          </w:tcPr>
          <w:p>
            <w:pPr>
              <w:jc w:val="left"/>
            </w:pPr>
            <w:r/>
            <w:r>
              <w:rPr>
                <w:b w:val="0"/>
                <w:sz w:val="15"/>
              </w:rPr>
              <w:t>Controlled dynamic work 2-3 x 8-12 if tolerated.</w:t>
            </w:r>
          </w:p>
        </w:tc>
        <w:tc>
          <w:tcPr>
            <w:tcW w:type="dxa" w:w="3528"/>
            <w:vAlign w:val="center"/>
          </w:tcPr>
          <w:p>
            <w:pPr>
              <w:jc w:val="left"/>
            </w:pPr>
            <w:r/>
            <w:r>
              <w:rPr>
                <w:b w:val="0"/>
                <w:sz w:val="15"/>
              </w:rPr>
              <w:t>Stop if pain &gt;3/10 or technique changes.</w:t>
            </w:r>
          </w:p>
        </w:tc>
      </w:tr>
      <w:tr>
        <w:tc>
          <w:tcPr>
            <w:tcW w:type="dxa" w:w="648"/>
            <w:vAlign w:val="center"/>
          </w:tcPr>
          <w:p>
            <w:pPr>
              <w:jc w:val="left"/>
            </w:pPr>
            <w:r/>
            <w:r>
              <w:rPr>
                <w:b w:val="0"/>
                <w:sz w:val="15"/>
              </w:rPr>
              <w:t>4</w:t>
            </w:r>
          </w:p>
        </w:tc>
        <w:tc>
          <w:tcPr>
            <w:tcW w:type="dxa" w:w="1944"/>
            <w:vAlign w:val="center"/>
          </w:tcPr>
          <w:p>
            <w:pPr>
              <w:jc w:val="left"/>
            </w:pPr>
            <w:r/>
            <w:r>
              <w:rPr>
                <w:b w:val="0"/>
                <w:sz w:val="15"/>
              </w:rPr>
              <w:t>Low-impact skill</w:t>
            </w:r>
          </w:p>
        </w:tc>
        <w:tc>
          <w:tcPr>
            <w:tcW w:type="dxa" w:w="4320"/>
            <w:vAlign w:val="center"/>
          </w:tcPr>
          <w:p>
            <w:pPr>
              <w:jc w:val="left"/>
            </w:pPr>
            <w:r/>
            <w:r>
              <w:rPr>
                <w:b w:val="0"/>
                <w:sz w:val="15"/>
              </w:rPr>
              <w:t>Technical skating/off-ice patterning at RPE 3-5; no explosive cuts.</w:t>
            </w:r>
          </w:p>
        </w:tc>
        <w:tc>
          <w:tcPr>
            <w:tcW w:type="dxa" w:w="3528"/>
            <w:vAlign w:val="center"/>
          </w:tcPr>
          <w:p>
            <w:pPr>
              <w:jc w:val="left"/>
            </w:pPr>
            <w:r/>
            <w:r>
              <w:rPr>
                <w:b w:val="0"/>
                <w:sz w:val="15"/>
              </w:rPr>
              <w:t>No high-speed, jumping, or hard lateral work unless tests are green.</w:t>
            </w:r>
          </w:p>
        </w:tc>
      </w:tr>
      <w:tr>
        <w:tc>
          <w:tcPr>
            <w:tcW w:type="dxa" w:w="648"/>
            <w:vAlign w:val="center"/>
          </w:tcPr>
          <w:p>
            <w:pPr>
              <w:jc w:val="left"/>
            </w:pPr>
            <w:r/>
            <w:r>
              <w:rPr>
                <w:b w:val="0"/>
                <w:sz w:val="15"/>
              </w:rPr>
              <w:t>5</w:t>
            </w:r>
          </w:p>
        </w:tc>
        <w:tc>
          <w:tcPr>
            <w:tcW w:type="dxa" w:w="1944"/>
            <w:vAlign w:val="center"/>
          </w:tcPr>
          <w:p>
            <w:pPr>
              <w:jc w:val="left"/>
            </w:pPr>
            <w:r/>
            <w:r>
              <w:rPr>
                <w:b w:val="0"/>
                <w:sz w:val="15"/>
              </w:rPr>
              <w:t>Build capacity</w:t>
            </w:r>
          </w:p>
        </w:tc>
        <w:tc>
          <w:tcPr>
            <w:tcW w:type="dxa" w:w="4320"/>
            <w:vAlign w:val="center"/>
          </w:tcPr>
          <w:p>
            <w:pPr>
              <w:jc w:val="left"/>
            </w:pPr>
            <w:r/>
            <w:r>
              <w:rPr>
                <w:b w:val="0"/>
                <w:sz w:val="15"/>
              </w:rPr>
              <w:t>Progress one variable: load, reps, range, or sport complexity.</w:t>
            </w:r>
          </w:p>
        </w:tc>
        <w:tc>
          <w:tcPr>
            <w:tcW w:type="dxa" w:w="3528"/>
            <w:vAlign w:val="center"/>
          </w:tcPr>
          <w:p>
            <w:pPr>
              <w:jc w:val="left"/>
            </w:pPr>
            <w:r/>
            <w:r>
              <w:rPr>
                <w:b w:val="0"/>
                <w:sz w:val="15"/>
              </w:rPr>
              <w:t>If next-day pain &gt;2/10 above baseline, return to prior dose.</w:t>
            </w:r>
          </w:p>
        </w:tc>
      </w:tr>
      <w:tr>
        <w:tc>
          <w:tcPr>
            <w:tcW w:type="dxa" w:w="648"/>
            <w:vAlign w:val="center"/>
          </w:tcPr>
          <w:p>
            <w:pPr>
              <w:jc w:val="left"/>
            </w:pPr>
            <w:r/>
            <w:r>
              <w:rPr>
                <w:b w:val="0"/>
                <w:sz w:val="15"/>
              </w:rPr>
              <w:t>6</w:t>
            </w:r>
          </w:p>
        </w:tc>
        <w:tc>
          <w:tcPr>
            <w:tcW w:type="dxa" w:w="1944"/>
            <w:vAlign w:val="center"/>
          </w:tcPr>
          <w:p>
            <w:pPr>
              <w:jc w:val="left"/>
            </w:pPr>
            <w:r/>
            <w:r>
              <w:rPr>
                <w:b w:val="0"/>
                <w:sz w:val="15"/>
              </w:rPr>
              <w:t>Function check</w:t>
            </w:r>
          </w:p>
        </w:tc>
        <w:tc>
          <w:tcPr>
            <w:tcW w:type="dxa" w:w="4320"/>
            <w:vAlign w:val="center"/>
          </w:tcPr>
          <w:p>
            <w:pPr>
              <w:jc w:val="left"/>
            </w:pPr>
            <w:r/>
            <w:r>
              <w:rPr>
                <w:b w:val="0"/>
                <w:sz w:val="15"/>
              </w:rPr>
              <w:t>Single-leg squat, hop symmetry, and basic pattern review.</w:t>
            </w:r>
          </w:p>
        </w:tc>
        <w:tc>
          <w:tcPr>
            <w:tcW w:type="dxa" w:w="3528"/>
            <w:vAlign w:val="center"/>
          </w:tcPr>
          <w:p>
            <w:pPr>
              <w:jc w:val="left"/>
            </w:pPr>
            <w:r/>
            <w:r>
              <w:rPr>
                <w:b w:val="0"/>
                <w:sz w:val="15"/>
              </w:rPr>
              <w:t>Modify if hop &lt;90%, Trendelenburg appears, or pain is 4/10.</w:t>
            </w:r>
          </w:p>
        </w:tc>
      </w:tr>
      <w:tr>
        <w:tc>
          <w:tcPr>
            <w:tcW w:type="dxa" w:w="648"/>
            <w:vAlign w:val="center"/>
          </w:tcPr>
          <w:p>
            <w:pPr>
              <w:jc w:val="left"/>
            </w:pPr>
            <w:r/>
            <w:r>
              <w:rPr>
                <w:b w:val="0"/>
                <w:sz w:val="15"/>
              </w:rPr>
              <w:t>7</w:t>
            </w:r>
          </w:p>
        </w:tc>
        <w:tc>
          <w:tcPr>
            <w:tcW w:type="dxa" w:w="1944"/>
            <w:vAlign w:val="center"/>
          </w:tcPr>
          <w:p>
            <w:pPr>
              <w:jc w:val="left"/>
            </w:pPr>
            <w:r/>
            <w:r>
              <w:rPr>
                <w:b w:val="0"/>
                <w:sz w:val="15"/>
              </w:rPr>
              <w:t>Week-2 decision</w:t>
            </w:r>
          </w:p>
        </w:tc>
        <w:tc>
          <w:tcPr>
            <w:tcW w:type="dxa" w:w="4320"/>
            <w:vAlign w:val="center"/>
          </w:tcPr>
          <w:p>
            <w:pPr>
              <w:jc w:val="left"/>
            </w:pPr>
            <w:r/>
            <w:r>
              <w:rPr>
                <w:b w:val="0"/>
                <w:sz w:val="15"/>
              </w:rPr>
              <w:t>Choose train, modify, or refer based on trend, not one good session.</w:t>
            </w:r>
          </w:p>
        </w:tc>
        <w:tc>
          <w:tcPr>
            <w:tcW w:type="dxa" w:w="3528"/>
            <w:vAlign w:val="center"/>
          </w:tcPr>
          <w:p>
            <w:pPr>
              <w:jc w:val="left"/>
            </w:pPr>
            <w:r/>
            <w:r>
              <w:rPr>
                <w:b w:val="0"/>
                <w:sz w:val="15"/>
              </w:rPr>
              <w:t>Escalate red flags, worsening trend, or repeated failed gates.</w:t>
            </w:r>
          </w:p>
        </w:tc>
      </w:tr>
    </w:tbl>
    <w:p>
      <w:pPr>
        <w:spacing w:after="40"/>
      </w:pPr>
    </w:p>
    <w:p>
      <w:pPr>
        <w:spacing w:after="80"/>
      </w:pPr>
      <w:r>
        <w:rPr>
          <w:rFonts w:ascii="Arial" w:hAnsi="Arial"/>
          <w:b/>
          <w:sz w:val="26"/>
        </w:rPr>
        <w:t>4. Daily log strip</w:t>
      </w:r>
    </w:p>
    <w:tbl>
      <w:tblPr>
        <w:tblW w:type="auto" w:w="0"/>
        <w:jc w:val="center"/>
        <w:tblLayout w:type="autofit"/>
        <w:tblLook w:firstColumn="1" w:firstRow="1" w:lastColumn="0" w:lastRow="0" w:noHBand="0" w:noVBand="1" w:val="04A0"/>
        <w:tblBorders>
          <w:top w:val="single" w:sz="4" w:space="0" w:color="D7DEE8"/>
          <w:left w:val="single" w:sz="4" w:space="0" w:color="D7DEE8"/>
          <w:bottom w:val="single" w:sz="4" w:space="0" w:color="D7DEE8"/>
          <w:right w:val="single" w:sz="4" w:space="0" w:color="D7DEE8"/>
          <w:insideH w:val="single" w:sz="4" w:space="0" w:color="D7DEE8"/>
          <w:insideV w:val="single" w:sz="4" w:space="0" w:color="D7DEE8"/>
        </w:tblBorders>
      </w:tblPr>
      <w:tblGrid>
        <w:gridCol w:w="1194"/>
        <w:gridCol w:w="1194"/>
        <w:gridCol w:w="1194"/>
        <w:gridCol w:w="1194"/>
        <w:gridCol w:w="1194"/>
        <w:gridCol w:w="1194"/>
        <w:gridCol w:w="1194"/>
        <w:gridCol w:w="1194"/>
        <w:gridCol w:w="1194"/>
      </w:tblGrid>
      <w:tr>
        <w:tc>
          <w:tcPr>
            <w:tcW w:type="dxa" w:w="1080"/>
            <w:vAlign w:val="center"/>
            <w:shd w:fill="E9F0F7"/>
          </w:tcPr>
          <w:p>
            <w:pPr>
              <w:jc w:val="left"/>
            </w:pPr>
            <w:r/>
            <w:r>
              <w:rPr>
                <w:b/>
                <w:sz w:val="16"/>
              </w:rPr>
              <w:t>Date</w:t>
            </w:r>
          </w:p>
        </w:tc>
        <w:tc>
          <w:tcPr>
            <w:tcW w:type="dxa" w:w="1440"/>
            <w:vAlign w:val="center"/>
            <w:shd w:fill="E9F0F7"/>
          </w:tcPr>
          <w:p>
            <w:pPr>
              <w:jc w:val="left"/>
            </w:pPr>
            <w:r/>
            <w:r>
              <w:rPr>
                <w:b/>
                <w:sz w:val="16"/>
              </w:rPr>
              <w:t>Player</w:t>
            </w:r>
          </w:p>
        </w:tc>
        <w:tc>
          <w:tcPr>
            <w:tcW w:type="dxa" w:w="792"/>
            <w:vAlign w:val="center"/>
            <w:shd w:fill="E9F0F7"/>
          </w:tcPr>
          <w:p>
            <w:pPr>
              <w:jc w:val="left"/>
            </w:pPr>
            <w:r/>
            <w:r>
              <w:rPr>
                <w:b/>
                <w:sz w:val="16"/>
              </w:rPr>
              <w:t>Pain</w:t>
            </w:r>
          </w:p>
        </w:tc>
        <w:tc>
          <w:tcPr>
            <w:tcW w:type="dxa" w:w="792"/>
            <w:vAlign w:val="center"/>
            <w:shd w:fill="E9F0F7"/>
          </w:tcPr>
          <w:p>
            <w:pPr>
              <w:jc w:val="left"/>
            </w:pPr>
            <w:r/>
            <w:r>
              <w:rPr>
                <w:b/>
                <w:sz w:val="16"/>
              </w:rPr>
              <w:t>24 h</w:t>
            </w:r>
          </w:p>
        </w:tc>
        <w:tc>
          <w:tcPr>
            <w:tcW w:type="dxa" w:w="792"/>
            <w:vAlign w:val="center"/>
            <w:shd w:fill="E9F0F7"/>
          </w:tcPr>
          <w:p>
            <w:pPr>
              <w:jc w:val="left"/>
            </w:pPr>
            <w:r/>
            <w:r>
              <w:rPr>
                <w:b/>
                <w:sz w:val="16"/>
              </w:rPr>
              <w:t>Squat</w:t>
            </w:r>
          </w:p>
        </w:tc>
        <w:tc>
          <w:tcPr>
            <w:tcW w:type="dxa" w:w="792"/>
            <w:vAlign w:val="center"/>
            <w:shd w:fill="E9F0F7"/>
          </w:tcPr>
          <w:p>
            <w:pPr>
              <w:jc w:val="left"/>
            </w:pPr>
            <w:r/>
            <w:r>
              <w:rPr>
                <w:b/>
                <w:sz w:val="16"/>
              </w:rPr>
              <w:t>Hop %</w:t>
            </w:r>
          </w:p>
        </w:tc>
        <w:tc>
          <w:tcPr>
            <w:tcW w:type="dxa" w:w="1152"/>
            <w:vAlign w:val="center"/>
            <w:shd w:fill="E9F0F7"/>
          </w:tcPr>
          <w:p>
            <w:pPr>
              <w:jc w:val="left"/>
            </w:pPr>
            <w:r/>
            <w:r>
              <w:rPr>
                <w:b/>
                <w:sz w:val="16"/>
              </w:rPr>
              <w:t>Control</w:t>
            </w:r>
          </w:p>
        </w:tc>
        <w:tc>
          <w:tcPr>
            <w:tcW w:type="dxa" w:w="1296"/>
            <w:vAlign w:val="center"/>
            <w:shd w:fill="E9F0F7"/>
          </w:tcPr>
          <w:p>
            <w:pPr>
              <w:jc w:val="left"/>
            </w:pPr>
            <w:r/>
            <w:r>
              <w:rPr>
                <w:b/>
                <w:sz w:val="16"/>
              </w:rPr>
              <w:t>Decision</w:t>
            </w:r>
          </w:p>
        </w:tc>
        <w:tc>
          <w:tcPr>
            <w:tcW w:type="dxa" w:w="2088"/>
            <w:vAlign w:val="center"/>
            <w:shd w:fill="E9F0F7"/>
          </w:tcPr>
          <w:p>
            <w:pPr>
              <w:jc w:val="left"/>
            </w:pPr>
            <w:r/>
            <w:r>
              <w:rPr>
                <w:b/>
                <w:sz w:val="16"/>
              </w:rPr>
              <w:t>Next action</w:t>
            </w:r>
          </w:p>
        </w:tc>
      </w:tr>
      <w:tr>
        <w:tc>
          <w:tcPr>
            <w:tcW w:type="dxa" w:w="1080"/>
            <w:vAlign w:val="center"/>
          </w:tcPr>
          <w:p>
            <w:pPr>
              <w:jc w:val="left"/>
            </w:pPr>
            <w:r/>
            <w:r>
              <w:rPr>
                <w:b w:val="0"/>
                <w:sz w:val="15"/>
              </w:rPr>
            </w:r>
          </w:p>
        </w:tc>
        <w:tc>
          <w:tcPr>
            <w:tcW w:type="dxa" w:w="1440"/>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1152"/>
            <w:vAlign w:val="center"/>
          </w:tcPr>
          <w:p>
            <w:pPr>
              <w:jc w:val="left"/>
            </w:pPr>
            <w:r/>
            <w:r>
              <w:rPr>
                <w:b w:val="0"/>
                <w:sz w:val="15"/>
              </w:rPr>
            </w:r>
          </w:p>
        </w:tc>
        <w:tc>
          <w:tcPr>
            <w:tcW w:type="dxa" w:w="1296"/>
            <w:vAlign w:val="center"/>
          </w:tcPr>
          <w:p>
            <w:pPr>
              <w:jc w:val="left"/>
            </w:pPr>
            <w:r/>
            <w:r>
              <w:rPr>
                <w:b w:val="0"/>
                <w:sz w:val="15"/>
              </w:rPr>
            </w:r>
          </w:p>
        </w:tc>
        <w:tc>
          <w:tcPr>
            <w:tcW w:type="dxa" w:w="2088"/>
            <w:vAlign w:val="center"/>
          </w:tcPr>
          <w:p>
            <w:pPr>
              <w:jc w:val="left"/>
            </w:pPr>
            <w:r/>
            <w:r>
              <w:rPr>
                <w:b w:val="0"/>
                <w:sz w:val="15"/>
              </w:rPr>
            </w:r>
          </w:p>
        </w:tc>
      </w:tr>
      <w:tr>
        <w:tc>
          <w:tcPr>
            <w:tcW w:type="dxa" w:w="1080"/>
            <w:vAlign w:val="center"/>
          </w:tcPr>
          <w:p>
            <w:pPr>
              <w:jc w:val="left"/>
            </w:pPr>
            <w:r/>
            <w:r>
              <w:rPr>
                <w:b w:val="0"/>
                <w:sz w:val="15"/>
              </w:rPr>
            </w:r>
          </w:p>
        </w:tc>
        <w:tc>
          <w:tcPr>
            <w:tcW w:type="dxa" w:w="1440"/>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1152"/>
            <w:vAlign w:val="center"/>
          </w:tcPr>
          <w:p>
            <w:pPr>
              <w:jc w:val="left"/>
            </w:pPr>
            <w:r/>
            <w:r>
              <w:rPr>
                <w:b w:val="0"/>
                <w:sz w:val="15"/>
              </w:rPr>
            </w:r>
          </w:p>
        </w:tc>
        <w:tc>
          <w:tcPr>
            <w:tcW w:type="dxa" w:w="1296"/>
            <w:vAlign w:val="center"/>
          </w:tcPr>
          <w:p>
            <w:pPr>
              <w:jc w:val="left"/>
            </w:pPr>
            <w:r/>
            <w:r>
              <w:rPr>
                <w:b w:val="0"/>
                <w:sz w:val="15"/>
              </w:rPr>
            </w:r>
          </w:p>
        </w:tc>
        <w:tc>
          <w:tcPr>
            <w:tcW w:type="dxa" w:w="2088"/>
            <w:vAlign w:val="center"/>
          </w:tcPr>
          <w:p>
            <w:pPr>
              <w:jc w:val="left"/>
            </w:pPr>
            <w:r/>
            <w:r>
              <w:rPr>
                <w:b w:val="0"/>
                <w:sz w:val="15"/>
              </w:rPr>
            </w:r>
          </w:p>
        </w:tc>
      </w:tr>
      <w:tr>
        <w:tc>
          <w:tcPr>
            <w:tcW w:type="dxa" w:w="1080"/>
            <w:vAlign w:val="center"/>
          </w:tcPr>
          <w:p>
            <w:pPr>
              <w:jc w:val="left"/>
            </w:pPr>
            <w:r/>
            <w:r>
              <w:rPr>
                <w:b w:val="0"/>
                <w:sz w:val="15"/>
              </w:rPr>
            </w:r>
          </w:p>
        </w:tc>
        <w:tc>
          <w:tcPr>
            <w:tcW w:type="dxa" w:w="1440"/>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1152"/>
            <w:vAlign w:val="center"/>
          </w:tcPr>
          <w:p>
            <w:pPr>
              <w:jc w:val="left"/>
            </w:pPr>
            <w:r/>
            <w:r>
              <w:rPr>
                <w:b w:val="0"/>
                <w:sz w:val="15"/>
              </w:rPr>
            </w:r>
          </w:p>
        </w:tc>
        <w:tc>
          <w:tcPr>
            <w:tcW w:type="dxa" w:w="1296"/>
            <w:vAlign w:val="center"/>
          </w:tcPr>
          <w:p>
            <w:pPr>
              <w:jc w:val="left"/>
            </w:pPr>
            <w:r/>
            <w:r>
              <w:rPr>
                <w:b w:val="0"/>
                <w:sz w:val="15"/>
              </w:rPr>
            </w:r>
          </w:p>
        </w:tc>
        <w:tc>
          <w:tcPr>
            <w:tcW w:type="dxa" w:w="2088"/>
            <w:vAlign w:val="center"/>
          </w:tcPr>
          <w:p>
            <w:pPr>
              <w:jc w:val="left"/>
            </w:pPr>
            <w:r/>
            <w:r>
              <w:rPr>
                <w:b w:val="0"/>
                <w:sz w:val="15"/>
              </w:rPr>
            </w:r>
          </w:p>
        </w:tc>
      </w:tr>
      <w:tr>
        <w:tc>
          <w:tcPr>
            <w:tcW w:type="dxa" w:w="1080"/>
            <w:vAlign w:val="center"/>
          </w:tcPr>
          <w:p>
            <w:pPr>
              <w:jc w:val="left"/>
            </w:pPr>
            <w:r/>
            <w:r>
              <w:rPr>
                <w:b w:val="0"/>
                <w:sz w:val="15"/>
              </w:rPr>
            </w:r>
          </w:p>
        </w:tc>
        <w:tc>
          <w:tcPr>
            <w:tcW w:type="dxa" w:w="1440"/>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1152"/>
            <w:vAlign w:val="center"/>
          </w:tcPr>
          <w:p>
            <w:pPr>
              <w:jc w:val="left"/>
            </w:pPr>
            <w:r/>
            <w:r>
              <w:rPr>
                <w:b w:val="0"/>
                <w:sz w:val="15"/>
              </w:rPr>
            </w:r>
          </w:p>
        </w:tc>
        <w:tc>
          <w:tcPr>
            <w:tcW w:type="dxa" w:w="1296"/>
            <w:vAlign w:val="center"/>
          </w:tcPr>
          <w:p>
            <w:pPr>
              <w:jc w:val="left"/>
            </w:pPr>
            <w:r/>
            <w:r>
              <w:rPr>
                <w:b w:val="0"/>
                <w:sz w:val="15"/>
              </w:rPr>
            </w:r>
          </w:p>
        </w:tc>
        <w:tc>
          <w:tcPr>
            <w:tcW w:type="dxa" w:w="2088"/>
            <w:vAlign w:val="center"/>
          </w:tcPr>
          <w:p>
            <w:pPr>
              <w:jc w:val="left"/>
            </w:pPr>
            <w:r/>
            <w:r>
              <w:rPr>
                <w:b w:val="0"/>
                <w:sz w:val="15"/>
              </w:rPr>
            </w:r>
          </w:p>
        </w:tc>
      </w:tr>
      <w:tr>
        <w:tc>
          <w:tcPr>
            <w:tcW w:type="dxa" w:w="1080"/>
            <w:vAlign w:val="center"/>
          </w:tcPr>
          <w:p>
            <w:pPr>
              <w:jc w:val="left"/>
            </w:pPr>
            <w:r/>
            <w:r>
              <w:rPr>
                <w:b w:val="0"/>
                <w:sz w:val="15"/>
              </w:rPr>
            </w:r>
          </w:p>
        </w:tc>
        <w:tc>
          <w:tcPr>
            <w:tcW w:type="dxa" w:w="1440"/>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792"/>
            <w:vAlign w:val="center"/>
          </w:tcPr>
          <w:p>
            <w:pPr>
              <w:jc w:val="left"/>
            </w:pPr>
            <w:r/>
            <w:r>
              <w:rPr>
                <w:b w:val="0"/>
                <w:sz w:val="15"/>
              </w:rPr>
            </w:r>
          </w:p>
        </w:tc>
        <w:tc>
          <w:tcPr>
            <w:tcW w:type="dxa" w:w="1152"/>
            <w:vAlign w:val="center"/>
          </w:tcPr>
          <w:p>
            <w:pPr>
              <w:jc w:val="left"/>
            </w:pPr>
            <w:r/>
            <w:r>
              <w:rPr>
                <w:b w:val="0"/>
                <w:sz w:val="15"/>
              </w:rPr>
            </w:r>
          </w:p>
        </w:tc>
        <w:tc>
          <w:tcPr>
            <w:tcW w:type="dxa" w:w="1296"/>
            <w:vAlign w:val="center"/>
          </w:tcPr>
          <w:p>
            <w:pPr>
              <w:jc w:val="left"/>
            </w:pPr>
            <w:r/>
            <w:r>
              <w:rPr>
                <w:b w:val="0"/>
                <w:sz w:val="15"/>
              </w:rPr>
            </w:r>
          </w:p>
        </w:tc>
        <w:tc>
          <w:tcPr>
            <w:tcW w:type="dxa" w:w="2088"/>
            <w:vAlign w:val="center"/>
          </w:tcPr>
          <w:p>
            <w:pPr>
              <w:jc w:val="left"/>
            </w:pPr>
            <w:r/>
            <w:r>
              <w:rPr>
                <w:b w:val="0"/>
                <w:sz w:val="15"/>
              </w:rPr>
            </w:r>
          </w:p>
        </w:tc>
      </w:tr>
    </w:tbl>
    <w:p>
      <w:pPr>
        <w:spacing w:after="40"/>
      </w:pPr>
    </w:p>
    <w:p>
      <w:pPr>
        <w:spacing w:after="80"/>
      </w:pPr>
      <w:r>
        <w:rPr>
          <w:rFonts w:ascii="Arial" w:hAnsi="Arial"/>
          <w:b/>
          <w:sz w:val="26"/>
        </w:rPr>
        <w:t>5. Evidence note for coaches</w:t>
      </w:r>
    </w:p>
    <w:p>
      <w:pPr>
        <w:spacing w:after="80" w:line="252" w:lineRule="auto"/>
      </w:pPr>
      <w:r>
        <w:rPr>
          <w:rFonts w:ascii="Arial" w:hAnsi="Arial"/>
          <w:sz w:val="17"/>
        </w:rPr>
        <w:t>Progressive mechanical loading and education are the coach-safe anchor for tendinopathy-style pain. Isometrics are useful as an early entry load when dynamic work is too provocative, but immediate pain relief is variable. Progression should move from isometric loading to controlled isotonic strength and then sport-specific energy-storage work when the 24 h response and function tests are stable.</w:t>
      </w:r>
    </w:p>
    <w:sectPr w:rsidR="00FC693F" w:rsidRPr="0006063C" w:rsidSect="00034616">
      <w:pgSz w:w="12240" w:h="15840"/>
      <w:pgMar w:top="648" w:right="749" w:bottom="648" w:left="74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