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52"/>
        </w:rPr>
        <w:t>GlobeIce &amp; arbetsprotokoll</w:t>
      </w:r>
    </w:p>
    <w:p>
      <w:pPr>
        <w:jc w:val="center"/>
      </w:pPr>
      <w:r>
        <w:rPr>
          <w:sz w:val="24"/>
        </w:rPr>
        <w:t>Startpaket v1.0 för arbete med ishockeyspelare, lag, föreningar och kundflöden</w:t>
      </w:r>
    </w:p>
    <w:p>
      <w:pPr>
        <w:jc w:val="center"/>
      </w:pPr>
      <w:r>
        <w:rPr>
          <w:i/>
        </w:rPr>
        <w:t>Skapad: 2026-05-16</w:t>
      </w:r>
    </w:p>
    <w:p/>
    <w:tbl>
      <w:tblPr>
        <w:tblW w:type="auto" w:w="0"/>
        <w:tblLook w:firstColumn="1" w:firstRow="1" w:lastColumn="0" w:lastRow="0" w:noHBand="0" w:noVBand="1" w:val="04A0"/>
      </w:tblPr>
      <w:tblGrid>
        <w:gridCol w:w="10540"/>
      </w:tblGrid>
      <w:tr>
        <w:tc>
          <w:tcPr>
            <w:tcW w:type="dxa" w:w="10540"/>
            <w:shd w:fill="D9EAF7"/>
            <w:tcMar>
              <w:top w:w="120" w:type="dxa"/>
              <w:start w:w="120" w:type="dxa"/>
              <w:bottom w:w="120" w:type="dxa"/>
              <w:end w:w="120" w:type="dxa"/>
            </w:tcMar>
            <w:tcBorders>
              <w:top w:val="single" w:sz="8" w:color="BFBFBF"/>
              <w:left w:val="single" w:sz="8" w:color="BFBFBF"/>
              <w:bottom w:val="single" w:sz="8" w:color="BFBFBF"/>
              <w:right w:val="single" w:sz="8" w:color="BFBFBF"/>
            </w:tcBorders>
          </w:tcPr>
          <w:p>
            <w:r>
              <w:rPr>
                <w:b/>
                <w:sz w:val="19"/>
              </w:rPr>
              <w:t>Arbetsprincip</w:t>
              <w:br/>
            </w:r>
            <w:r>
              <w:rPr>
                <w:sz w:val="18"/>
              </w:rPr>
              <w:t>Det här är ett praktiskt arbetsutkast. Anpassa efter avtal, lokala regler, medicinsk kompetens och hur GlobeIce faktiskt ska fungera internt. Vid skada, misstänkt hjärnskakning eller juridiska frågor ska ansvarig medicinsk eller juridisk kompetens kopplas in.</w:t>
            </w:r>
          </w:p>
        </w:tc>
      </w:tr>
    </w:tbl>
    <w:p/>
    <w:tbl>
      <w:tblPr>
        <w:tblStyle w:val="TableGrid"/>
        <w:tblW w:type="auto" w:w="0"/>
        <w:jc w:val="center"/>
        <w:tblLook w:firstColumn="1" w:firstRow="1" w:lastColumn="0" w:lastRow="0" w:noHBand="0" w:noVBand="1" w:val="04A0"/>
      </w:tblPr>
      <w:tblGrid>
        <w:gridCol w:w="5270"/>
        <w:gridCol w:w="5270"/>
      </w:tblGrid>
      <w:tr>
        <w:tc>
          <w:tcPr>
            <w:tcW w:type="dxa" w:w="2835"/>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Snabbläsning</w:t>
            </w:r>
          </w:p>
        </w:tc>
        <w:tc>
          <w:tcPr>
            <w:tcW w:type="dxa" w:w="6633"/>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Vad du gör i praktiken</w:t>
            </w:r>
          </w:p>
        </w:tc>
      </w:tr>
      <w:tr>
        <w:tc>
          <w:tcPr>
            <w:tcW w:type="dxa" w:w="28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1. Allt har ägare och nästa steg</w:t>
            </w:r>
          </w:p>
        </w:tc>
        <w:tc>
          <w:tcPr>
            <w:tcW w:type="dxa" w:w="6633"/>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Varje kontakt, spelare, incident eller partner ska ha: ansvarig, status, datum och nästa handling.</w:t>
            </w:r>
          </w:p>
        </w:tc>
      </w:tr>
      <w:tr>
        <w:tc>
          <w:tcPr>
            <w:tcW w:type="dxa" w:w="28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2. Säkerhet först</w:t>
            </w:r>
          </w:p>
        </w:tc>
        <w:tc>
          <w:tcPr>
            <w:tcW w:type="dxa" w:w="6633"/>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Misstänkt huvudskada, akut skada eller röd flagga pausas direkt och hanteras av medicinskt ansvarig eller sjukvård.</w:t>
            </w:r>
          </w:p>
        </w:tc>
      </w:tr>
      <w:tr>
        <w:tc>
          <w:tcPr>
            <w:tcW w:type="dxa" w:w="28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3. Spelarcentrerat arbetssätt</w:t>
            </w:r>
          </w:p>
        </w:tc>
        <w:tc>
          <w:tcPr>
            <w:tcW w:type="dxa" w:w="6633"/>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Sätt mål tillsammans med spelaren. För ungdomar: trygghet, delaktighet, glädje, allsidighet och hälsa styr upplägget.</w:t>
            </w:r>
          </w:p>
        </w:tc>
      </w:tr>
      <w:tr>
        <w:tc>
          <w:tcPr>
            <w:tcW w:type="dxa" w:w="28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4. Dataminimering</w:t>
            </w:r>
          </w:p>
        </w:tc>
        <w:tc>
          <w:tcPr>
            <w:tcW w:type="dxa" w:w="6633"/>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Samla inte in mer person- eller hälsodata än du behöver. Känsliga uppgifter ska ha tydligt syfte, begränsad åtkomst och raderingsrutin.</w:t>
            </w:r>
          </w:p>
        </w:tc>
      </w:tr>
      <w:tr>
        <w:tc>
          <w:tcPr>
            <w:tcW w:type="dxa" w:w="28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5. Veckovis förbättring</w:t>
            </w:r>
          </w:p>
        </w:tc>
        <w:tc>
          <w:tcPr>
            <w:tcW w:type="dxa" w:w="6633"/>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Avsluta varje vecka med 20 minuter: vad fungerade, vad skapade risk, vad ska standardiseras?</w:t>
            </w:r>
          </w:p>
        </w:tc>
      </w:tr>
    </w:tbl>
    <w:p/>
    <w:p>
      <w:pPr>
        <w:pStyle w:val="Heading1"/>
      </w:pPr>
      <w:r>
        <w:t>1. Operativ veckorytm</w:t>
      </w:r>
    </w:p>
    <w:p>
      <w:r>
        <w:t>Syftet är att få ordning på både det dagliga jobbet och GlobeIce-utvecklingen. Använd rytmen som standard tills du har data som visar att något annat fungerar bättre.</w:t>
      </w:r>
    </w:p>
    <w:tbl>
      <w:tblPr>
        <w:tblStyle w:val="TableGrid"/>
        <w:tblW w:type="auto" w:w="0"/>
        <w:jc w:val="center"/>
        <w:tblLook w:firstColumn="1" w:firstRow="1" w:lastColumn="0" w:lastRow="0" w:noHBand="0" w:noVBand="1" w:val="04A0"/>
      </w:tblPr>
      <w:tblGrid>
        <w:gridCol w:w="3513"/>
        <w:gridCol w:w="3513"/>
        <w:gridCol w:w="3513"/>
      </w:tblGrid>
      <w:tr>
        <w:tc>
          <w:tcPr>
            <w:tcW w:type="dxa" w:w="136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Dag</w:t>
            </w:r>
          </w:p>
        </w:tc>
        <w:tc>
          <w:tcPr>
            <w:tcW w:type="dxa" w:w="3628"/>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Fokus</w:t>
            </w:r>
          </w:p>
        </w:tc>
        <w:tc>
          <w:tcPr>
            <w:tcW w:type="dxa" w:w="4535"/>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Output som ska finnas i dashboarden</w:t>
            </w:r>
          </w:p>
        </w:tc>
      </w:tr>
      <w:tr>
        <w:tc>
          <w:tcPr>
            <w:tcW w:type="dxa" w:w="136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Måndag</w:t>
            </w:r>
          </w:p>
        </w:tc>
        <w:tc>
          <w:tcPr>
            <w:tcW w:type="dxa" w:w="362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Prioritera veckan: spelare/kunder, incidenter, leads, innehåll.</w:t>
            </w:r>
          </w:p>
        </w:tc>
        <w:tc>
          <w:tcPr>
            <w:tcW w:type="dxa" w:w="45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Topp 3 prioriteringar, ansvarig, deadline.</w:t>
            </w:r>
          </w:p>
        </w:tc>
      </w:tr>
      <w:tr>
        <w:tc>
          <w:tcPr>
            <w:tcW w:type="dxa" w:w="136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Tisdag</w:t>
            </w:r>
          </w:p>
        </w:tc>
        <w:tc>
          <w:tcPr>
            <w:tcW w:type="dxa" w:w="362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Uppföljningar med spelare, tränare, lag eller vårdnadshavare.</w:t>
            </w:r>
          </w:p>
        </w:tc>
        <w:tc>
          <w:tcPr>
            <w:tcW w:type="dxa" w:w="45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Uppdaterad status, nästa steg, risknoteringar.</w:t>
            </w:r>
          </w:p>
        </w:tc>
      </w:tr>
      <w:tr>
        <w:tc>
          <w:tcPr>
            <w:tcW w:type="dxa" w:w="136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Onsdag</w:t>
            </w:r>
          </w:p>
        </w:tc>
        <w:tc>
          <w:tcPr>
            <w:tcW w:type="dxa" w:w="362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Kunskap och content: kort post, case, checklista eller lärdom.</w:t>
            </w:r>
          </w:p>
        </w:tc>
        <w:tc>
          <w:tcPr>
            <w:tcW w:type="dxa" w:w="45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1 publiceringsklart utkast eller intern lärdom.</w:t>
            </w:r>
          </w:p>
        </w:tc>
      </w:tr>
      <w:tr>
        <w:tc>
          <w:tcPr>
            <w:tcW w:type="dxa" w:w="136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Torsdag</w:t>
            </w:r>
          </w:p>
        </w:tc>
        <w:tc>
          <w:tcPr>
            <w:tcW w:type="dxa" w:w="362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Partnerskap och GlobeIce-pipeline.</w:t>
            </w:r>
          </w:p>
        </w:tc>
        <w:tc>
          <w:tcPr>
            <w:tcW w:type="dxa" w:w="45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Minst 3 konkreta kontaktpunkter eller ett bokat möte.</w:t>
            </w:r>
          </w:p>
        </w:tc>
      </w:tr>
      <w:tr>
        <w:tc>
          <w:tcPr>
            <w:tcW w:type="dxa" w:w="136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Fredag</w:t>
            </w:r>
          </w:p>
        </w:tc>
        <w:tc>
          <w:tcPr>
            <w:tcW w:type="dxa" w:w="362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KPI-review och protokollförbättring.</w:t>
            </w:r>
          </w:p>
        </w:tc>
        <w:tc>
          <w:tcPr>
            <w:tcW w:type="dxa" w:w="45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Veckorapport: grönt/gult/rött och förbättringspunkt.</w:t>
            </w:r>
          </w:p>
        </w:tc>
      </w:tr>
      <w:tr>
        <w:tc>
          <w:tcPr>
            <w:tcW w:type="dxa" w:w="136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Söndag</w:t>
            </w:r>
          </w:p>
        </w:tc>
        <w:tc>
          <w:tcPr>
            <w:tcW w:type="dxa" w:w="362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Lätt förberedelse inför måndag.</w:t>
            </w:r>
          </w:p>
        </w:tc>
        <w:tc>
          <w:tcPr>
            <w:tcW w:type="dxa" w:w="45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Rensad inbox/lista, färdiga första handlingar.</w:t>
            </w:r>
          </w:p>
        </w:tc>
      </w:tr>
    </w:tbl>
    <w:p/>
    <w:tbl>
      <w:tblPr>
        <w:tblW w:type="auto" w:w="0"/>
        <w:tblLook w:firstColumn="1" w:firstRow="1" w:lastColumn="0" w:lastRow="0" w:noHBand="0" w:noVBand="1" w:val="04A0"/>
      </w:tblPr>
      <w:tblGrid>
        <w:gridCol w:w="10540"/>
      </w:tblGrid>
      <w:tr>
        <w:tc>
          <w:tcPr>
            <w:tcW w:type="dxa" w:w="10540"/>
            <w:shd w:fill="E2F0D9"/>
            <w:tcMar>
              <w:top w:w="120" w:type="dxa"/>
              <w:start w:w="120" w:type="dxa"/>
              <w:bottom w:w="120" w:type="dxa"/>
              <w:end w:w="120" w:type="dxa"/>
            </w:tcMar>
            <w:tcBorders>
              <w:top w:val="single" w:sz="8" w:color="BFBFBF"/>
              <w:left w:val="single" w:sz="8" w:color="BFBFBF"/>
              <w:bottom w:val="single" w:sz="8" w:color="BFBFBF"/>
              <w:right w:val="single" w:sz="8" w:color="BFBFBF"/>
            </w:tcBorders>
          </w:tcPr>
          <w:p>
            <w:r>
              <w:rPr>
                <w:b/>
                <w:sz w:val="19"/>
              </w:rPr>
              <w:t>20-minuters veckomöte</w:t>
              <w:br/>
            </w:r>
            <w:r>
              <w:rPr>
                <w:sz w:val="18"/>
              </w:rPr>
              <w:t>Fråga bara tre saker: 1) Vad är öppet och riskfyllt? 2) Vad skapade mest värde? 3) Vilket protokoll ska skärpas nästa vecka?</w:t>
            </w:r>
          </w:p>
        </w:tc>
      </w:tr>
    </w:tbl>
    <w:p/>
    <w:p>
      <w:pPr>
        <w:pStyle w:val="Heading1"/>
      </w:pPr>
      <w:r>
        <w:t>2. Protokoll 1 - kund- och lag-onboarding</w:t>
      </w:r>
    </w:p>
    <w:p>
      <w:r>
        <w:t>Används när en spelare, förälder, tränare, förening, agent eller partner tar kontakt. Målet är att snabbt avgöra behov, risk, ansvar och nästa steg.</w:t>
      </w:r>
    </w:p>
    <w:tbl>
      <w:tblPr>
        <w:tblStyle w:val="TableGrid"/>
        <w:tblW w:type="auto" w:w="0"/>
        <w:jc w:val="center"/>
        <w:tblLook w:firstColumn="1" w:firstRow="1" w:lastColumn="0" w:lastRow="0" w:noHBand="0" w:noVBand="1" w:val="04A0"/>
      </w:tblPr>
      <w:tblGrid>
        <w:gridCol w:w="3513"/>
        <w:gridCol w:w="3513"/>
        <w:gridCol w:w="3513"/>
      </w:tblGrid>
      <w:tr>
        <w:tc>
          <w:tcPr>
            <w:tcW w:type="dxa" w:w="170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Fas</w:t>
            </w:r>
          </w:p>
        </w:tc>
        <w:tc>
          <w:tcPr>
            <w:tcW w:type="dxa" w:w="4819"/>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Frågor/checkpunkter</w:t>
            </w:r>
          </w:p>
        </w:tc>
        <w:tc>
          <w:tcPr>
            <w:tcW w:type="dxa" w:w="2835"/>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Dokumentera</w:t>
            </w:r>
          </w:p>
        </w:tc>
      </w:tr>
      <w:tr>
        <w:tc>
          <w:tcPr>
            <w:tcW w:type="dxa" w:w="170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1. Klassificera</w:t>
            </w:r>
          </w:p>
        </w:tc>
        <w:tc>
          <w:tcPr>
            <w:tcW w:type="dxa" w:w="4819"/>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Är detta spelare, lag, förening, partner, sponsor eller media? Är behovet träning, rehab, screening, utbildning, data eller matchning?</w:t>
            </w:r>
          </w:p>
        </w:tc>
        <w:tc>
          <w:tcPr>
            <w:tcW w:type="dxa" w:w="28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Typ, kontaktväg, första behov, tidslinje.</w:t>
            </w:r>
          </w:p>
        </w:tc>
      </w:tr>
      <w:tr>
        <w:tc>
          <w:tcPr>
            <w:tcW w:type="dxa" w:w="170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2. Fit-call 15 min</w:t>
            </w:r>
          </w:p>
        </w:tc>
        <w:tc>
          <w:tcPr>
            <w:tcW w:type="dxa" w:w="4819"/>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Vad vill de lösa? Varför nu? Vad händer om inget görs? Vem beslutar? Finns risk/skada som kräver medicinskt ansvar?</w:t>
            </w:r>
          </w:p>
        </w:tc>
        <w:tc>
          <w:tcPr>
            <w:tcW w:type="dxa" w:w="28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Mål, problem, beslutstagare, risknivå.</w:t>
            </w:r>
          </w:p>
        </w:tc>
      </w:tr>
      <w:tr>
        <w:tc>
          <w:tcPr>
            <w:tcW w:type="dxa" w:w="170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3. Scope</w:t>
            </w:r>
          </w:p>
        </w:tc>
        <w:tc>
          <w:tcPr>
            <w:tcW w:type="dxa" w:w="4819"/>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Definiera exakt leverans: screening, pass, rapport, workshop, pilot eller möte. Skriv vad som inte ingår.</w:t>
            </w:r>
          </w:p>
        </w:tc>
        <w:tc>
          <w:tcPr>
            <w:tcW w:type="dxa" w:w="28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Leverans, pris/ram, datum, ansvarig.</w:t>
            </w:r>
          </w:p>
        </w:tc>
      </w:tr>
      <w:tr>
        <w:tc>
          <w:tcPr>
            <w:tcW w:type="dxa" w:w="170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4. Samtycke och data</w:t>
            </w:r>
          </w:p>
        </w:tc>
        <w:tc>
          <w:tcPr>
            <w:tcW w:type="dxa" w:w="4819"/>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Berätta vilka uppgifter som sparas, varför, hur länge och vem som får se dem. Undvik onödig hälsodata i öppna system.</w:t>
            </w:r>
          </w:p>
        </w:tc>
        <w:tc>
          <w:tcPr>
            <w:tcW w:type="dxa" w:w="28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Samtycke/grund, dataplats, begränsningar.</w:t>
            </w:r>
          </w:p>
        </w:tc>
      </w:tr>
      <w:tr>
        <w:tc>
          <w:tcPr>
            <w:tcW w:type="dxa" w:w="170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5. Startbesked</w:t>
            </w:r>
          </w:p>
        </w:tc>
        <w:tc>
          <w:tcPr>
            <w:tcW w:type="dxa" w:w="4819"/>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Skicka kort sammanfattning: mål, nästa steg, tid, förväntningar, avbokning, kontaktväg.</w:t>
            </w:r>
          </w:p>
        </w:tc>
        <w:tc>
          <w:tcPr>
            <w:tcW w:type="dxa" w:w="283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Skickat datum, kanal, status.</w:t>
            </w:r>
          </w:p>
        </w:tc>
      </w:tr>
    </w:tbl>
    <w:p/>
    <w:p>
      <w:pPr>
        <w:pStyle w:val="Heading3"/>
      </w:pPr>
      <w:r>
        <w:t>Mall: första 15-minuters samtal</w:t>
      </w:r>
    </w:p>
    <w:tbl>
      <w:tblPr>
        <w:tblStyle w:val="TableGrid"/>
        <w:tblW w:type="auto" w:w="0"/>
        <w:jc w:val="center"/>
        <w:tblLook w:firstColumn="1" w:firstRow="1" w:lastColumn="0" w:lastRow="0" w:noHBand="0" w:noVBand="1" w:val="04A0"/>
      </w:tblPr>
      <w:tblGrid>
        <w:gridCol w:w="5270"/>
        <w:gridCol w:w="5270"/>
      </w:tblGrid>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Mål</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Vad vill du/ni uppnå de kommande 30-90 dagarna?</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Nuläge</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Vad fungerar redan bra? Vad hindrar er just nu?</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Risk</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Finns skada, huvudsmäll, sjukdom, oro eller annat som kräver medicinskt ansvar?</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Beslut</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Vem behöver säga ja till nästa steg?</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Nästa steg</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Vilken handling tar vi inom 48 timmar?</w:t>
            </w:r>
          </w:p>
        </w:tc>
      </w:tr>
    </w:tbl>
    <w:p/>
    <w:p>
      <w:pPr>
        <w:pStyle w:val="Heading1"/>
      </w:pPr>
      <w:r>
        <w:t>3. Protokoll 2 - spelar- och behovsscreening</w:t>
      </w:r>
    </w:p>
    <w:p>
      <w:r>
        <w:t>Syftet är att skapa en tydlig bild av mål, belastning, funktion och risk utan att lova diagnos om du inte har den behörigheten.</w:t>
      </w:r>
    </w:p>
    <w:tbl>
      <w:tblPr>
        <w:tblW w:type="auto" w:w="0"/>
        <w:tblLook w:firstColumn="1" w:firstRow="1" w:lastColumn="0" w:lastRow="0" w:noHBand="0" w:noVBand="1" w:val="04A0"/>
      </w:tblPr>
      <w:tblGrid>
        <w:gridCol w:w="10540"/>
      </w:tblGrid>
      <w:tr>
        <w:tc>
          <w:tcPr>
            <w:tcW w:type="dxa" w:w="10540"/>
            <w:shd w:fill="FCE4D6"/>
            <w:tcMar>
              <w:top w:w="120" w:type="dxa"/>
              <w:start w:w="120" w:type="dxa"/>
              <w:bottom w:w="120" w:type="dxa"/>
              <w:end w:w="120" w:type="dxa"/>
            </w:tcMar>
            <w:tcBorders>
              <w:top w:val="single" w:sz="8" w:color="BFBFBF"/>
              <w:left w:val="single" w:sz="8" w:color="BFBFBF"/>
              <w:bottom w:val="single" w:sz="8" w:color="BFBFBF"/>
              <w:right w:val="single" w:sz="8" w:color="BFBFBF"/>
            </w:tcBorders>
          </w:tcPr>
          <w:p>
            <w:r>
              <w:rPr>
                <w:b/>
                <w:sz w:val="19"/>
              </w:rPr>
              <w:t>Säkerhetsgräns</w:t>
              <w:br/>
            </w:r>
            <w:r>
              <w:rPr>
                <w:sz w:val="18"/>
              </w:rPr>
              <w:t>Avbryt screening och hänvisa vidare vid akut smärta, misstänkt fraktur, neurologiska symtom, huvudskada, bröstsmärta, andningsproblem, feber/allmänpåverkan eller snabb funktionsförsämring.</w:t>
            </w:r>
          </w:p>
        </w:tc>
      </w:tr>
    </w:tbl>
    <w:p/>
    <w:tbl>
      <w:tblPr>
        <w:tblStyle w:val="TableGrid"/>
        <w:tblW w:type="auto" w:w="0"/>
        <w:jc w:val="center"/>
        <w:tblLook w:firstColumn="1" w:firstRow="1" w:lastColumn="0" w:lastRow="0" w:noHBand="0" w:noVBand="1" w:val="04A0"/>
      </w:tblPr>
      <w:tblGrid>
        <w:gridCol w:w="3513"/>
        <w:gridCol w:w="3513"/>
        <w:gridCol w:w="3513"/>
      </w:tblGrid>
      <w:tr>
        <w:tc>
          <w:tcPr>
            <w:tcW w:type="dxa" w:w="170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Block</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Exempel på frågor/tester</w:t>
            </w:r>
          </w:p>
        </w:tc>
        <w:tc>
          <w:tcPr>
            <w:tcW w:type="dxa" w:w="2948"/>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Beslut</w:t>
            </w:r>
          </w:p>
        </w:tc>
      </w:tr>
      <w:tr>
        <w:tc>
          <w:tcPr>
            <w:tcW w:type="dxa" w:w="170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Historik</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Ålder/kategori, position, träningsnivå, tidigare skador, nuvarande mål.</w:t>
            </w:r>
          </w:p>
        </w:tc>
        <w:tc>
          <w:tcPr>
            <w:tcW w:type="dxa" w:w="294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Behovstyp: prestation, prevention, rehab, återgång.</w:t>
            </w:r>
          </w:p>
        </w:tc>
      </w:tr>
      <w:tr>
        <w:tc>
          <w:tcPr>
            <w:tcW w:type="dxa" w:w="170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Belastning</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Träningar/matcher per vecka, senaste ökning, sömn, stress, skola/jobb, återhämtning.</w:t>
            </w:r>
          </w:p>
        </w:tc>
        <w:tc>
          <w:tcPr>
            <w:tcW w:type="dxa" w:w="294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Grön/gul/röd belastningsrisk.</w:t>
            </w:r>
          </w:p>
        </w:tc>
      </w:tr>
      <w:tr>
        <w:tc>
          <w:tcPr>
            <w:tcW w:type="dxa" w:w="170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Funktion</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Basrörelser: knäböj, enbensbalans, höftkontroll, hopp/landning, skridskospecifika observationer.</w:t>
            </w:r>
          </w:p>
        </w:tc>
        <w:tc>
          <w:tcPr>
            <w:tcW w:type="dxa" w:w="294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Vad ska prioriteras först?</w:t>
            </w:r>
          </w:p>
        </w:tc>
      </w:tr>
      <w:tr>
        <w:tc>
          <w:tcPr>
            <w:tcW w:type="dxa" w:w="170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Smärta/symtom</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0-10 skala, vad provocerar, vad lindrar, hur länge efter pass?</w:t>
            </w:r>
          </w:p>
        </w:tc>
        <w:tc>
          <w:tcPr>
            <w:tcW w:type="dxa" w:w="294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Träningsbar nivå eller medicinsk bedömning.</w:t>
            </w:r>
          </w:p>
        </w:tc>
      </w:tr>
      <w:tr>
        <w:tc>
          <w:tcPr>
            <w:tcW w:type="dxa" w:w="170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Plan</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1 mål, 1 huvudåtgärd, 1 uppföljningstid.</w:t>
            </w:r>
          </w:p>
        </w:tc>
        <w:tc>
          <w:tcPr>
            <w:tcW w:type="dxa" w:w="294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Programstart eller hänvisning.</w:t>
            </w:r>
          </w:p>
        </w:tc>
      </w:tr>
    </w:tbl>
    <w:p/>
    <w:p>
      <w:pPr>
        <w:pStyle w:val="Heading1"/>
      </w:pPr>
      <w:r>
        <w:t>4. Protokoll 3 - tränings-, rehab- och uppföljningspass</w:t>
      </w:r>
    </w:p>
    <w:p>
      <w:r>
        <w:t>Använd för enskilda pass. Bygg progression med små steg och mät responsen efteråt.</w:t>
      </w:r>
    </w:p>
    <w:tbl>
      <w:tblPr>
        <w:tblStyle w:val="TableGrid"/>
        <w:tblW w:type="auto" w:w="0"/>
        <w:jc w:val="center"/>
        <w:tblLook w:firstColumn="1" w:firstRow="1" w:lastColumn="0" w:lastRow="0" w:noHBand="0" w:noVBand="1" w:val="04A0"/>
      </w:tblPr>
      <w:tblGrid>
        <w:gridCol w:w="3513"/>
        <w:gridCol w:w="3513"/>
        <w:gridCol w:w="3513"/>
      </w:tblGrid>
      <w:tr>
        <w:tc>
          <w:tcPr>
            <w:tcW w:type="dxa" w:w="1587"/>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Tidsblock</w:t>
            </w:r>
          </w:p>
        </w:tc>
        <w:tc>
          <w:tcPr>
            <w:tcW w:type="dxa" w:w="5102"/>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Innehåll</w:t>
            </w:r>
          </w:p>
        </w:tc>
        <w:tc>
          <w:tcPr>
            <w:tcW w:type="dxa" w:w="272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Check</w:t>
            </w:r>
          </w:p>
        </w:tc>
      </w:tr>
      <w:tr>
        <w:tc>
          <w:tcPr>
            <w:tcW w:type="dxa" w:w="15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0-5 min</w:t>
            </w:r>
          </w:p>
        </w:tc>
        <w:tc>
          <w:tcPr>
            <w:tcW w:type="dxa" w:w="510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Incheckning: sömn, stress, smärta/symtom 0-10, föregående pass, mål i dag.</w:t>
            </w:r>
          </w:p>
        </w:tc>
        <w:tc>
          <w:tcPr>
            <w:tcW w:type="dxa" w:w="272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Är dagens pass säkert?</w:t>
            </w:r>
          </w:p>
        </w:tc>
      </w:tr>
      <w:tr>
        <w:tc>
          <w:tcPr>
            <w:tcW w:type="dxa" w:w="15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5-15 min</w:t>
            </w:r>
          </w:p>
        </w:tc>
        <w:tc>
          <w:tcPr>
            <w:tcW w:type="dxa" w:w="510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Uppvärmning: rörlighet, aktivering, balans/koordination, lätt puls.</w:t>
            </w:r>
          </w:p>
        </w:tc>
        <w:tc>
          <w:tcPr>
            <w:tcW w:type="dxa" w:w="272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Symtom eller kompensation?</w:t>
            </w:r>
          </w:p>
        </w:tc>
      </w:tr>
      <w:tr>
        <w:tc>
          <w:tcPr>
            <w:tcW w:type="dxa" w:w="15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15-35 min</w:t>
            </w:r>
          </w:p>
        </w:tc>
        <w:tc>
          <w:tcPr>
            <w:tcW w:type="dxa" w:w="510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Huvuddel: teknik, styrka, kontroll, kapacitet. En huvudkvalitet per pass.</w:t>
            </w:r>
          </w:p>
        </w:tc>
        <w:tc>
          <w:tcPr>
            <w:tcW w:type="dxa" w:w="272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RPE, kvalitet, dos.</w:t>
            </w:r>
          </w:p>
        </w:tc>
      </w:tr>
      <w:tr>
        <w:tc>
          <w:tcPr>
            <w:tcW w:type="dxa" w:w="15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35-45 min</w:t>
            </w:r>
          </w:p>
        </w:tc>
        <w:tc>
          <w:tcPr>
            <w:tcW w:type="dxa" w:w="510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Funktionell del: skridskorelaterat, riktningsförändring, acceleration eller skadepreventiv del.</w:t>
            </w:r>
          </w:p>
        </w:tc>
        <w:tc>
          <w:tcPr>
            <w:tcW w:type="dxa" w:w="272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Öka bara en variabel åt gången.</w:t>
            </w:r>
          </w:p>
        </w:tc>
      </w:tr>
      <w:tr>
        <w:tc>
          <w:tcPr>
            <w:tcW w:type="dxa" w:w="15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45-50 min</w:t>
            </w:r>
          </w:p>
        </w:tc>
        <w:tc>
          <w:tcPr>
            <w:tcW w:type="dxa" w:w="510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Nedvarvning och plan: vad ska göras hemma, vad ska undvikas, nästa progression.</w:t>
            </w:r>
          </w:p>
        </w:tc>
        <w:tc>
          <w:tcPr>
            <w:tcW w:type="dxa" w:w="272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Skriv svar inom 24 h.</w:t>
            </w:r>
          </w:p>
        </w:tc>
      </w:tr>
    </w:tbl>
    <w:p/>
    <w:p>
      <w:pPr>
        <w:pStyle w:val="ListBullet"/>
      </w:pPr>
      <w:r>
        <w:t>Progressionsregel: öka endast en av volym, intensitet, hastighet, komplexitet eller kontaktrisk åt gången.</w:t>
      </w:r>
    </w:p>
    <w:p>
      <w:pPr>
        <w:pStyle w:val="ListBullet"/>
      </w:pPr>
      <w:r>
        <w:t>Backa vid tydlig symtomökning, sämre teknik, smärta som inte klingar av eller respons som håller i sig till nästa dag.</w:t>
      </w:r>
    </w:p>
    <w:p>
      <w:pPr>
        <w:pStyle w:val="ListBullet"/>
      </w:pPr>
      <w:r>
        <w:t>Dokumentera pass med: syfte, dos, respons, nästa steg och ansvarig.</w:t>
      </w:r>
    </w:p>
    <w:p>
      <w:pPr>
        <w:pStyle w:val="Heading1"/>
      </w:pPr>
      <w:r>
        <w:t>5. Protokoll 4 - huvudskada/hjärnskakning vid träning eller match</w:t>
      </w:r>
    </w:p>
    <w:p>
      <w:r>
        <w:t>Detta är ett säkerhetsprotokoll, inte ett diagnosverktyg. Vid misstänkt huvudskada ska spelaren hanteras konservativt och medicinskt ansvar kopplas in.</w:t>
      </w:r>
    </w:p>
    <w:tbl>
      <w:tblPr>
        <w:tblStyle w:val="TableGrid"/>
        <w:tblW w:type="auto" w:w="0"/>
        <w:jc w:val="center"/>
        <w:tblLook w:firstColumn="1" w:firstRow="1" w:lastColumn="0" w:lastRow="0" w:noHBand="0" w:noVBand="1" w:val="04A0"/>
      </w:tblPr>
      <w:tblGrid>
        <w:gridCol w:w="3513"/>
        <w:gridCol w:w="3513"/>
        <w:gridCol w:w="3513"/>
      </w:tblGrid>
      <w:tr>
        <w:tc>
          <w:tcPr>
            <w:tcW w:type="dxa" w:w="1247"/>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Steg</w:t>
            </w:r>
          </w:p>
        </w:tc>
        <w:tc>
          <w:tcPr>
            <w:tcW w:type="dxa" w:w="5216"/>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Åtgärd</w:t>
            </w:r>
          </w:p>
        </w:tc>
        <w:tc>
          <w:tcPr>
            <w:tcW w:type="dxa" w:w="306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Dokumentation</w:t>
            </w:r>
          </w:p>
        </w:tc>
      </w:tr>
      <w:tr>
        <w:tc>
          <w:tcPr>
            <w:tcW w:type="dxa" w:w="124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1. Stoppa</w:t>
            </w:r>
          </w:p>
        </w:tc>
        <w:tc>
          <w:tcPr>
            <w:tcW w:type="dxa" w:w="5216"/>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Ta spelaren ur spel/träning direkt vid misstanke. Låt inte spelaren själv argumentera för fortsatt spel.</w:t>
            </w:r>
          </w:p>
        </w:tc>
        <w:tc>
          <w:tcPr>
            <w:tcW w:type="dxa" w:w="306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Tid, plats, situation, vem observerade.</w:t>
            </w:r>
          </w:p>
        </w:tc>
      </w:tr>
      <w:tr>
        <w:tc>
          <w:tcPr>
            <w:tcW w:type="dxa" w:w="124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2. Bedömning</w:t>
            </w:r>
          </w:p>
        </w:tc>
        <w:tc>
          <w:tcPr>
            <w:tcW w:type="dxa" w:w="5216"/>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Medicinskt ansvarig bedömer i lugn miljö. Saknas medicinsk kompetens: följ lokal akutplan och hänvisa vidare.</w:t>
            </w:r>
          </w:p>
        </w:tc>
        <w:tc>
          <w:tcPr>
            <w:tcW w:type="dxa" w:w="306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Symtom/tecken, ansvarig person, beslut.</w:t>
            </w:r>
          </w:p>
        </w:tc>
      </w:tr>
      <w:tr>
        <w:tc>
          <w:tcPr>
            <w:tcW w:type="dxa" w:w="124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3. Ingen retur samma dag</w:t>
            </w:r>
          </w:p>
        </w:tc>
        <w:tc>
          <w:tcPr>
            <w:tcW w:type="dxa" w:w="5216"/>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Vid misstänkt eller bekräftad hjärnskakning: ingen återgång till spel eller träning samma dag.</w:t>
            </w:r>
          </w:p>
        </w:tc>
        <w:tc>
          <w:tcPr>
            <w:tcW w:type="dxa" w:w="306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Kommunicerat till coach/spelare/vårdnadshavare.</w:t>
            </w:r>
          </w:p>
        </w:tc>
      </w:tr>
      <w:tr>
        <w:tc>
          <w:tcPr>
            <w:tcW w:type="dxa" w:w="124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4. Information</w:t>
            </w:r>
          </w:p>
        </w:tc>
        <w:tc>
          <w:tcPr>
            <w:tcW w:type="dxa" w:w="5216"/>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Ge tydlig instruktion om observation, försämring, kontaktväg och uppföljning.</w:t>
            </w:r>
          </w:p>
        </w:tc>
        <w:tc>
          <w:tcPr>
            <w:tcW w:type="dxa" w:w="306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Vem fick information och när.</w:t>
            </w:r>
          </w:p>
        </w:tc>
      </w:tr>
      <w:tr>
        <w:tc>
          <w:tcPr>
            <w:tcW w:type="dxa" w:w="124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5. Uppföljning</w:t>
            </w:r>
          </w:p>
        </w:tc>
        <w:tc>
          <w:tcPr>
            <w:tcW w:type="dxa" w:w="5216"/>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Planera medicinsk uppföljning och eventuell stegvis återgång.</w:t>
            </w:r>
          </w:p>
        </w:tc>
        <w:tc>
          <w:tcPr>
            <w:tcW w:type="dxa" w:w="306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Datum, ansvarig, status.</w:t>
            </w:r>
          </w:p>
        </w:tc>
      </w:tr>
    </w:tbl>
    <w:p/>
    <w:tbl>
      <w:tblPr>
        <w:tblW w:type="auto" w:w="0"/>
        <w:tblLook w:firstColumn="1" w:firstRow="1" w:lastColumn="0" w:lastRow="0" w:noHBand="0" w:noVBand="1" w:val="04A0"/>
      </w:tblPr>
      <w:tblGrid>
        <w:gridCol w:w="10540"/>
      </w:tblGrid>
      <w:tr>
        <w:tc>
          <w:tcPr>
            <w:tcW w:type="dxa" w:w="10540"/>
            <w:shd w:fill="FCE4D6"/>
            <w:tcMar>
              <w:top w:w="120" w:type="dxa"/>
              <w:start w:w="120" w:type="dxa"/>
              <w:bottom w:w="120" w:type="dxa"/>
              <w:end w:w="120" w:type="dxa"/>
            </w:tcMar>
            <w:tcBorders>
              <w:top w:val="single" w:sz="8" w:color="BFBFBF"/>
              <w:left w:val="single" w:sz="8" w:color="BFBFBF"/>
              <w:bottom w:val="single" w:sz="8" w:color="BFBFBF"/>
              <w:right w:val="single" w:sz="8" w:color="BFBFBF"/>
            </w:tcBorders>
          </w:tcPr>
          <w:p>
            <w:r>
              <w:rPr>
                <w:b/>
                <w:sz w:val="19"/>
              </w:rPr>
              <w:t>Akut varning</w:t>
              <w:br/>
            </w:r>
            <w:r>
              <w:rPr>
                <w:sz w:val="18"/>
              </w:rPr>
              <w:t>Vid medvetslöshet, tilltagande förvirring, upprepade kräkningar, kramp, svår nacksmärta, svaghet/domning, kraftigt försämrat allmäntillstånd eller oro för allvarlig skada: larma akut enligt lokal rutin. I Sverige: 112.</w:t>
            </w:r>
          </w:p>
        </w:tc>
      </w:tr>
    </w:tbl>
    <w:p/>
    <w:p>
      <w:pPr>
        <w:pStyle w:val="Heading1"/>
      </w:pPr>
      <w:r>
        <w:t>6. Protokoll 5 - återgång efter hjärnskakning</w:t>
      </w:r>
    </w:p>
    <w:p>
      <w:r>
        <w:t>Använd bara efter akut hantering och i samråd med rätt medicinsk kompetens. Stegen nedan är en praktisk arbetsram inspirerad av aktuella svenska och internationella rekommendationer. Lokala regler och medicinska beslut gäller först.</w:t>
      </w:r>
    </w:p>
    <w:tbl>
      <w:tblPr>
        <w:tblStyle w:val="TableGrid"/>
        <w:tblW w:type="auto" w:w="0"/>
        <w:jc w:val="center"/>
        <w:tblLook w:firstColumn="1" w:firstRow="1" w:lastColumn="0" w:lastRow="0" w:noHBand="0" w:noVBand="1" w:val="04A0"/>
      </w:tblPr>
      <w:tblGrid>
        <w:gridCol w:w="2635"/>
        <w:gridCol w:w="2635"/>
        <w:gridCol w:w="2635"/>
        <w:gridCol w:w="2635"/>
      </w:tblGrid>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Steg</w:t>
            </w:r>
          </w:p>
        </w:tc>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Mål</w:t>
            </w:r>
          </w:p>
        </w:tc>
        <w:tc>
          <w:tcPr>
            <w:tcW w:type="dxa" w:w="3515"/>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Exempel</w:t>
            </w:r>
          </w:p>
        </w:tc>
        <w:tc>
          <w:tcPr>
            <w:tcW w:type="dxa" w:w="2438"/>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Krav för progression</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1. Relativ vila 24-48 h</w:t>
            </w:r>
          </w:p>
        </w:tc>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Lugn återstart</w:t>
            </w:r>
          </w:p>
        </w:tc>
        <w:tc>
          <w:tcPr>
            <w:tcW w:type="dxa" w:w="351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Promenad, vardagsaktivitet, återgång till skola/arbete i anpassad form.</w:t>
            </w:r>
          </w:p>
        </w:tc>
        <w:tc>
          <w:tcPr>
            <w:tcW w:type="dxa" w:w="243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Ingen eller liten symtomökning.</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2. Pulshöjande aktivitet</w:t>
            </w:r>
          </w:p>
        </w:tc>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Öka puls kontrollerat</w:t>
            </w:r>
          </w:p>
        </w:tc>
        <w:tc>
          <w:tcPr>
            <w:tcW w:type="dxa" w:w="351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Cykling, lätt styrka, lätt jogging efter tolerans.</w:t>
            </w:r>
          </w:p>
        </w:tc>
        <w:tc>
          <w:tcPr>
            <w:tcW w:type="dxa" w:w="243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Symtomökning ska vara begränsad och klinga av.</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3. Idrottsspecifikt utan risk</w:t>
            </w:r>
          </w:p>
        </w:tc>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Lägg till rörelse</w:t>
            </w:r>
          </w:p>
        </w:tc>
        <w:tc>
          <w:tcPr>
            <w:tcW w:type="dxa" w:w="351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Teknik utan kontakt, skridsko/löpning utan kollision eller huvudrisk.</w:t>
            </w:r>
          </w:p>
        </w:tc>
        <w:tc>
          <w:tcPr>
            <w:tcW w:type="dxa" w:w="243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Ingen risk för ny huvudsmäll.</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4. Träning utan kontakt</w:t>
            </w:r>
          </w:p>
        </w:tc>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Fullare belastning</w:t>
            </w:r>
          </w:p>
        </w:tc>
        <w:tc>
          <w:tcPr>
            <w:tcW w:type="dxa" w:w="351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Full intensitet utan kontakt/riskmoment.</w:t>
            </w:r>
          </w:p>
        </w:tc>
        <w:tc>
          <w:tcPr>
            <w:tcW w:type="dxa" w:w="243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Symtomfri under och efter.</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5. Full träning</w:t>
            </w:r>
          </w:p>
        </w:tc>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Åter till normal träning</w:t>
            </w:r>
          </w:p>
        </w:tc>
        <w:tc>
          <w:tcPr>
            <w:tcW w:type="dxa" w:w="351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Träning utan begränsning efter medicinsk bedömning där det krävs.</w:t>
            </w:r>
          </w:p>
        </w:tc>
        <w:tc>
          <w:tcPr>
            <w:tcW w:type="dxa" w:w="243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Symtomfri och godkänd enligt lokal rutin.</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6. Match/tävling</w:t>
            </w:r>
          </w:p>
        </w:tc>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Återgång till spel</w:t>
            </w:r>
          </w:p>
        </w:tc>
        <w:tc>
          <w:tcPr>
            <w:tcW w:type="dxa" w:w="351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Normal match.</w:t>
            </w:r>
          </w:p>
        </w:tc>
        <w:tc>
          <w:tcPr>
            <w:tcW w:type="dxa" w:w="243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Beslut enligt medicinsk/lokal policy.</w:t>
            </w:r>
          </w:p>
        </w:tc>
      </w:tr>
    </w:tbl>
    <w:p/>
    <w:p>
      <w:pPr>
        <w:pStyle w:val="ListBullet"/>
      </w:pPr>
      <w:r>
        <w:t>Först tillbaka till skola/arbete, sedan tillbaka till idrott.</w:t>
      </w:r>
    </w:p>
    <w:p>
      <w:pPr>
        <w:pStyle w:val="ListBullet"/>
      </w:pPr>
      <w:r>
        <w:t>Vid symtom som återkommer: backa till föregående säkra steg och ta medicinsk rådgivning enligt lokal rutin.</w:t>
      </w:r>
    </w:p>
    <w:p>
      <w:pPr>
        <w:pStyle w:val="ListBullet"/>
      </w:pPr>
      <w:r>
        <w:t>Kvarstående besvär runt 4 veckor, eller tidigare hos barn/unga, bör föranleda vårdkontakt/specialistbedömning.</w:t>
      </w:r>
    </w:p>
    <w:p>
      <w:pPr>
        <w:pStyle w:val="Heading1"/>
      </w:pPr>
      <w:r>
        <w:t>7. Protokoll 6 - skade- och incidentrapport</w:t>
      </w:r>
    </w:p>
    <w:p>
      <w:pPr>
        <w:pStyle w:val="Heading3"/>
      </w:pPr>
      <w:r>
        <w:t>Mall: incidentrapport</w:t>
      </w:r>
    </w:p>
    <w:tbl>
      <w:tblPr>
        <w:tblStyle w:val="TableGrid"/>
        <w:tblW w:type="auto" w:w="0"/>
        <w:jc w:val="center"/>
        <w:tblLook w:firstColumn="1" w:firstRow="1" w:lastColumn="0" w:lastRow="0" w:noHBand="0" w:noVBand="1" w:val="04A0"/>
      </w:tblPr>
      <w:tblGrid>
        <w:gridCol w:w="5270"/>
        <w:gridCol w:w="5270"/>
      </w:tblGrid>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Datum/tid/plats</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När och var inträffade händelsen?</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Person/roll</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Spelare-ID eller namn enligt datarutin; undvik onödig känslig information.</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Händelse</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Kort neutral beskrivning: vad hände, utan skuldformulering.</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Akut åtgärd</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Avbrutet pass, första hjälpen, medicinsk bedömning, akut kontakt, informerad vårdnadshavare.</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Riskkategori</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Grön: lätt. Gul: kräver uppföljning. Röd: medicinskt/akut ansvar.</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Nästa steg</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Vem gör vad och när?</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Stängning</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När är ärendet avslutat och på vilken grund?</w:t>
            </w:r>
          </w:p>
        </w:tc>
      </w:tr>
    </w:tbl>
    <w:p/>
    <w:p>
      <w:pPr>
        <w:pStyle w:val="Heading1"/>
      </w:pPr>
      <w:r>
        <w:t>8. Protokoll 7 - trygg idrott, barn/unga och integritet</w:t>
      </w:r>
    </w:p>
    <w:p>
      <w:r>
        <w:t>När du arbetar med unga spelare ska verksamheten vara trygg, inkluderande och långsiktig. Dokumentera beteenden och rutiner, inte bara prestation.</w:t>
      </w:r>
    </w:p>
    <w:tbl>
      <w:tblPr>
        <w:tblStyle w:val="TableGrid"/>
        <w:tblW w:type="auto" w:w="0"/>
        <w:jc w:val="center"/>
        <w:tblLook w:firstColumn="1" w:firstRow="1" w:lastColumn="0" w:lastRow="0" w:noHBand="0" w:noVBand="1" w:val="04A0"/>
      </w:tblPr>
      <w:tblGrid>
        <w:gridCol w:w="3513"/>
        <w:gridCol w:w="3513"/>
        <w:gridCol w:w="3513"/>
      </w:tblGrid>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Område</w:t>
            </w:r>
          </w:p>
        </w:tc>
        <w:tc>
          <w:tcPr>
            <w:tcW w:type="dxa" w:w="5102"/>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Standardbeteende</w:t>
            </w:r>
          </w:p>
        </w:tc>
        <w:tc>
          <w:tcPr>
            <w:tcW w:type="dxa" w:w="2608"/>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Varningssignal</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Trygghet</w:t>
            </w:r>
          </w:p>
        </w:tc>
        <w:tc>
          <w:tcPr>
            <w:tcW w:type="dxa" w:w="510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Alla vet vem de kan prata med. Ledare agerar vid oro, kränkning, hot, våld eller övergrepp.</w:t>
            </w:r>
          </w:p>
        </w:tc>
        <w:tc>
          <w:tcPr>
            <w:tcW w:type="dxa" w:w="260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Barn/unga vågar inte säga ifrån eller vet inte vart de ska vända sig.</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Delaktighet</w:t>
            </w:r>
          </w:p>
        </w:tc>
        <w:tc>
          <w:tcPr>
            <w:tcW w:type="dxa" w:w="510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Spelare får åldersanpassad information och möjlighet att påverka mål och upplägg.</w:t>
            </w:r>
          </w:p>
        </w:tc>
        <w:tc>
          <w:tcPr>
            <w:tcW w:type="dxa" w:w="260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Beslut tas över huvudet på spelare utan förklaring.</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Glädje och utveckling</w:t>
            </w:r>
          </w:p>
        </w:tc>
        <w:tc>
          <w:tcPr>
            <w:tcW w:type="dxa" w:w="510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Fokus på lärande, ansträngning, nyfikenhet och egen progression.</w:t>
            </w:r>
          </w:p>
        </w:tc>
        <w:tc>
          <w:tcPr>
            <w:tcW w:type="dxa" w:w="260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Rädsla för att förlora plats, överdriven jämförelse eller toppning utan tydlig utvecklingslogik.</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Hälsa</w:t>
            </w:r>
          </w:p>
        </w:tc>
        <w:tc>
          <w:tcPr>
            <w:tcW w:type="dxa" w:w="510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Belastning, sömn, återhämtning och skadehistorik tas på allvar.</w:t>
            </w:r>
          </w:p>
        </w:tc>
        <w:tc>
          <w:tcPr>
            <w:tcW w:type="dxa" w:w="260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Spelare pressas igenom smärta, sjukdom eller hjärnskakningssymtom.</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Integritet och media</w:t>
            </w:r>
          </w:p>
        </w:tc>
        <w:tc>
          <w:tcPr>
            <w:tcW w:type="dxa" w:w="510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Bild/film/namn används bara med tydligt syfte, rättslig grund/samtycke och skydd för känsliga situationer.</w:t>
            </w:r>
          </w:p>
        </w:tc>
        <w:tc>
          <w:tcPr>
            <w:tcW w:type="dxa" w:w="260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Publicering av barn, skador eller persondata utan tydlig information och kontroll.</w:t>
            </w:r>
          </w:p>
        </w:tc>
      </w:tr>
    </w:tbl>
    <w:p/>
    <w:p>
      <w:pPr>
        <w:pStyle w:val="Heading1"/>
      </w:pPr>
      <w:r>
        <w:t>9. Protokoll 8 - dataskydd och dokumentation</w:t>
      </w:r>
    </w:p>
    <w:p>
      <w:r>
        <w:t>Målet är att kunna arbeta professionellt utan att skapa onödig personuppgiftsrisk. Detta är inte juridisk rådgivning.</w:t>
      </w:r>
    </w:p>
    <w:tbl>
      <w:tblPr>
        <w:tblStyle w:val="TableGrid"/>
        <w:tblW w:type="auto" w:w="0"/>
        <w:jc w:val="center"/>
        <w:tblLook w:firstColumn="1" w:firstRow="1" w:lastColumn="0" w:lastRow="0" w:noHBand="0" w:noVBand="1" w:val="04A0"/>
      </w:tblPr>
      <w:tblGrid>
        <w:gridCol w:w="5270"/>
        <w:gridCol w:w="5270"/>
      </w:tblGrid>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Regel</w:t>
            </w:r>
          </w:p>
        </w:tc>
        <w:tc>
          <w:tcPr>
            <w:tcW w:type="dxa" w:w="7370"/>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Praktiskt arbetssätt</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Informera</w:t>
            </w:r>
          </w:p>
        </w:tc>
        <w:tc>
          <w:tcPr>
            <w:tcW w:type="dxa" w:w="7370"/>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Berätta vem som ansvarar för uppgifterna, varför de sparas, hur länge, vem som får se dem och hur personen kan begära rättelse/radering.</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Minimera</w:t>
            </w:r>
          </w:p>
        </w:tc>
        <w:tc>
          <w:tcPr>
            <w:tcW w:type="dxa" w:w="7370"/>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Spara bara det du behöver för aktuell leverans. Lägg inte detaljerad hälsodata i öppna kalkylblad eller chattar.</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Begränsa åtkomst</w:t>
            </w:r>
          </w:p>
        </w:tc>
        <w:tc>
          <w:tcPr>
            <w:tcW w:type="dxa" w:w="7370"/>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Endast personer med arbetsbehov ska se uppgifter. Separera känsliga anteckningar från allmän projektstatus.</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Register</w:t>
            </w:r>
          </w:p>
        </w:tc>
        <w:tc>
          <w:tcPr>
            <w:tcW w:type="dxa" w:w="7370"/>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Ha en enkel logg över behandling: kategori, syfte, lagringsplats, ansvarig, raderingstid.</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Incident</w:t>
            </w:r>
          </w:p>
        </w:tc>
        <w:tc>
          <w:tcPr>
            <w:tcW w:type="dxa" w:w="7370"/>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Vid misstänkt felhantering, dataläcka eller fel mottagare: dokumentera direkt, begränsa skada och följ lokal/lagstadgad incidentrutin.</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Radering</w:t>
            </w:r>
          </w:p>
        </w:tc>
        <w:tc>
          <w:tcPr>
            <w:tcW w:type="dxa" w:w="7370"/>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Bestäm standard: exempelvis radera/anonymisera avslutade kontakter efter angiven tid om inget avtal/rättsligt behov finns.</w:t>
            </w:r>
          </w:p>
        </w:tc>
      </w:tr>
    </w:tbl>
    <w:p/>
    <w:p>
      <w:pPr>
        <w:pStyle w:val="Heading1"/>
      </w:pPr>
      <w:r>
        <w:t>10. GlobeIce - affärs- och produktprotokoll</w:t>
      </w:r>
    </w:p>
    <w:p>
      <w:r>
        <w:t>Eftersom den publika GlobeIce-sidan beskriver satsningen som en global infrastruktur för ishockey men ännu är sparsam med detaljer, är detta ett neutralt operativt upplägg som fungerar för plattform, nätverk, community eller tjänsteerbjudande.</w:t>
      </w:r>
    </w:p>
    <w:tbl>
      <w:tblPr>
        <w:tblStyle w:val="TableGrid"/>
        <w:tblW w:type="auto" w:w="0"/>
        <w:jc w:val="center"/>
        <w:tblLook w:firstColumn="1" w:firstRow="1" w:lastColumn="0" w:lastRow="0" w:noHBand="0" w:noVBand="1" w:val="04A0"/>
      </w:tblPr>
      <w:tblGrid>
        <w:gridCol w:w="5270"/>
        <w:gridCol w:w="5270"/>
      </w:tblGrid>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Princip</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Vad det betyder i praktiken</w:t>
            </w:r>
          </w:p>
        </w:tc>
      </w:tr>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Player-first</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Mät värde i spelarens/lagets faktiska förbättring: tydlighet, säkerhet, rätt kontakt, bättre uppföljning.</w:t>
            </w:r>
          </w:p>
        </w:tc>
      </w:tr>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Verifierade aktörer</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Tränare, terapeuter, klubbar, partners och rådgivare ska ha tydlig roll, kontaktväg och ansvar.</w:t>
            </w:r>
          </w:p>
        </w:tc>
      </w:tr>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Låg datarisk</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GlobeIce ska kunna skapa nytta utan att kräva mer persondata än nödvändigt.</w:t>
            </w:r>
          </w:p>
        </w:tc>
      </w:tr>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Tydlig matchning</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Varje lead eller spelarbehov ska kunna matchas till rätt nästa steg: utbildning, kontakt, screening, program, partner.</w:t>
            </w:r>
          </w:p>
        </w:tc>
      </w:tr>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Mätbar kvalitet</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Varje pilot ska ha före/efter: tid till svar, nöjdhet, avslutade uppföljningar, incidenter, lärdomar.</w:t>
            </w:r>
          </w:p>
        </w:tc>
      </w:tr>
    </w:tbl>
    <w:p/>
    <w:tbl>
      <w:tblPr>
        <w:tblStyle w:val="TableGrid"/>
        <w:tblW w:type="auto" w:w="0"/>
        <w:jc w:val="center"/>
        <w:tblLook w:firstColumn="1" w:firstRow="1" w:lastColumn="0" w:lastRow="0" w:noHBand="0" w:noVBand="1" w:val="04A0"/>
      </w:tblPr>
      <w:tblGrid>
        <w:gridCol w:w="3513"/>
        <w:gridCol w:w="3513"/>
        <w:gridCol w:w="3513"/>
      </w:tblGrid>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Pipeline-steg</w:t>
            </w:r>
          </w:p>
        </w:tc>
        <w:tc>
          <w:tcPr>
            <w:tcW w:type="dxa" w:w="3969"/>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Definition</w:t>
            </w:r>
          </w:p>
        </w:tc>
        <w:tc>
          <w:tcPr>
            <w:tcW w:type="dxa" w:w="3685"/>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Nästa handling</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Ny</w:t>
            </w:r>
          </w:p>
        </w:tc>
        <w:tc>
          <w:tcPr>
            <w:tcW w:type="dxa" w:w="3969"/>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Kontakt eller idé finns men inget behov är bekräftat.</w:t>
            </w:r>
          </w:p>
        </w:tc>
        <w:tc>
          <w:tcPr>
            <w:tcW w:type="dxa" w:w="368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Skicka kort introduktion och boka 15-minuters samtal.</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Kontaktad</w:t>
            </w:r>
          </w:p>
        </w:tc>
        <w:tc>
          <w:tcPr>
            <w:tcW w:type="dxa" w:w="3969"/>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Personen/organisationen har fått första meddelande.</w:t>
            </w:r>
          </w:p>
        </w:tc>
        <w:tc>
          <w:tcPr>
            <w:tcW w:type="dxa" w:w="368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Följ upp inom 3-5 arbetsdagar.</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Möte bokat</w:t>
            </w:r>
          </w:p>
        </w:tc>
        <w:tc>
          <w:tcPr>
            <w:tcW w:type="dxa" w:w="3969"/>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Tid finns i kalender eller överenskommen kanal.</w:t>
            </w:r>
          </w:p>
        </w:tc>
        <w:tc>
          <w:tcPr>
            <w:tcW w:type="dxa" w:w="368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Skicka agenda och 3 frågor i förväg.</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Pilot</w:t>
            </w:r>
          </w:p>
        </w:tc>
        <w:tc>
          <w:tcPr>
            <w:tcW w:type="dxa" w:w="3969"/>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Avgränsat test med tydligt mål.</w:t>
            </w:r>
          </w:p>
        </w:tc>
        <w:tc>
          <w:tcPr>
            <w:tcW w:type="dxa" w:w="368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Bestäm start, mätetal, ansvar och feedbackdatum.</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Förhandling</w:t>
            </w:r>
          </w:p>
        </w:tc>
        <w:tc>
          <w:tcPr>
            <w:tcW w:type="dxa" w:w="3969"/>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Värdet är visat och villkor diskuteras.</w:t>
            </w:r>
          </w:p>
        </w:tc>
        <w:tc>
          <w:tcPr>
            <w:tcW w:type="dxa" w:w="368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Dokumentera beslutstagare, hinder och nästa steg.</w:t>
            </w:r>
          </w:p>
        </w:tc>
      </w:tr>
      <w:tr>
        <w:tc>
          <w:tcPr>
            <w:tcW w:type="dxa" w:w="181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Vunnen/förlorad</w:t>
            </w:r>
          </w:p>
        </w:tc>
        <w:tc>
          <w:tcPr>
            <w:tcW w:type="dxa" w:w="3969"/>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Beslut är taget.</w:t>
            </w:r>
          </w:p>
        </w:tc>
        <w:tc>
          <w:tcPr>
            <w:tcW w:type="dxa" w:w="368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Skriv lärdom och uppdatera playbook.</w:t>
            </w:r>
          </w:p>
        </w:tc>
      </w:tr>
    </w:tbl>
    <w:p/>
    <w:p>
      <w:pPr>
        <w:pStyle w:val="Heading3"/>
      </w:pPr>
      <w:r>
        <w:t>Mall: partner- eller föreningspitch</w:t>
      </w:r>
    </w:p>
    <w:tbl>
      <w:tblPr>
        <w:tblStyle w:val="TableGrid"/>
        <w:tblW w:type="auto" w:w="0"/>
        <w:jc w:val="center"/>
        <w:tblLook w:firstColumn="1" w:firstRow="1" w:lastColumn="0" w:lastRow="0" w:noHBand="0" w:noVBand="1" w:val="04A0"/>
      </w:tblPr>
      <w:tblGrid>
        <w:gridCol w:w="5270"/>
        <w:gridCol w:w="5270"/>
      </w:tblGrid>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Problem</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Många spelare, lag och kontakter saknar en tydlig struktur för behov, uppföljning och rätt stöd.</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Lösning</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GlobeIce bygger ett tydligare ishockeyflöde där rätt behov kopplas till rätt person, data och åtgärd.</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Bevis</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Starta med en liten pilot: 10 spelare/1 lag/1 förening och mät svarstid, uppföljning och nöjdhet.</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Riskkontroll</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Dataminimering, samtycke, tydliga roller och säkerhetsprotokoll.</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Nästa steg</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15-minuters möte + pilotdefinition inom 48 timmar.</w:t>
            </w:r>
          </w:p>
        </w:tc>
      </w:tr>
    </w:tbl>
    <w:p/>
    <w:p>
      <w:pPr>
        <w:pStyle w:val="Heading3"/>
      </w:pPr>
      <w:r>
        <w:t>Mall: anonymiserat case/content</w:t>
      </w:r>
    </w:p>
    <w:tbl>
      <w:tblPr>
        <w:tblStyle w:val="TableGrid"/>
        <w:tblW w:type="auto" w:w="0"/>
        <w:jc w:val="center"/>
        <w:tblLook w:firstColumn="1" w:firstRow="1" w:lastColumn="0" w:lastRow="0" w:noHBand="0" w:noVBand="1" w:val="04A0"/>
      </w:tblPr>
      <w:tblGrid>
        <w:gridCol w:w="5270"/>
        <w:gridCol w:w="5270"/>
      </w:tblGrid>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Hook</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Ett vanligt problem i ishockeymiljö: [exempel].</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Observation</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Vad vi såg utan att identifiera spelare: [belastning, teknik, kommunikation].</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Åtgärd</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Vilket enkelt protokoll som användes.</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Resultat</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Vad blev tydligare/mätbart efter 1-2 veckor?</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Lärdom</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En sak tränare/spelare kan göra i dag.</w:t>
            </w:r>
          </w:p>
        </w:tc>
      </w:tr>
    </w:tbl>
    <w:p/>
    <w:p>
      <w:pPr>
        <w:pStyle w:val="Heading1"/>
      </w:pPr>
      <w:r>
        <w:t>11. Standardmallar</w:t>
      </w:r>
    </w:p>
    <w:p>
      <w:pPr>
        <w:pStyle w:val="Heading3"/>
      </w:pPr>
      <w:r>
        <w:t>Mall: mötesprotokoll</w:t>
      </w:r>
    </w:p>
    <w:tbl>
      <w:tblPr>
        <w:tblStyle w:val="TableGrid"/>
        <w:tblW w:type="auto" w:w="0"/>
        <w:jc w:val="center"/>
        <w:tblLook w:firstColumn="1" w:firstRow="1" w:lastColumn="0" w:lastRow="0" w:noHBand="0" w:noVBand="1" w:val="04A0"/>
      </w:tblPr>
      <w:tblGrid>
        <w:gridCol w:w="5270"/>
        <w:gridCol w:w="5270"/>
      </w:tblGrid>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Möte</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Datum, deltagare, syfte.</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Beslut</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Vad beslutades? Skriv max 3 punkter.</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Åtgärder</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Vem gör vad och när?</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Risker</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Vad kan stoppa oss? Grön/gul/röd.</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Nästa möte</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Datum, agenda, förberedelse.</w:t>
            </w:r>
          </w:p>
        </w:tc>
      </w:tr>
    </w:tbl>
    <w:p/>
    <w:p>
      <w:pPr>
        <w:pStyle w:val="Heading3"/>
      </w:pPr>
      <w:r>
        <w:t>Mall: uppföljningsmeddelande</w:t>
      </w:r>
    </w:p>
    <w:tbl>
      <w:tblPr>
        <w:tblStyle w:val="TableGrid"/>
        <w:tblW w:type="auto" w:w="0"/>
        <w:jc w:val="center"/>
        <w:tblLook w:firstColumn="1" w:firstRow="1" w:lastColumn="0" w:lastRow="0" w:noHBand="0" w:noVBand="1" w:val="04A0"/>
      </w:tblPr>
      <w:tblGrid>
        <w:gridCol w:w="5270"/>
        <w:gridCol w:w="5270"/>
      </w:tblGrid>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Start</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Tack för samtalet/träningen i dag.</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Sammanfattning</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Mål: __. Vi såg: __. Nästa steg: __.</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Ansvar</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Du gör __. Jag gör __. Deadline: __.</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Säkerhet</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Vid försämring, huvudskadesymtom eller oro: avbryt och kontakta ansvarig vård/medicinsk person.</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Avslut</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Jag följer upp __.</w:t>
            </w:r>
          </w:p>
        </w:tc>
      </w:tr>
    </w:tbl>
    <w:p/>
    <w:p>
      <w:pPr>
        <w:pStyle w:val="Heading3"/>
      </w:pPr>
      <w:r>
        <w:t>Mall: veckorapport</w:t>
      </w:r>
    </w:p>
    <w:tbl>
      <w:tblPr>
        <w:tblStyle w:val="TableGrid"/>
        <w:tblW w:type="auto" w:w="0"/>
        <w:jc w:val="center"/>
        <w:tblLook w:firstColumn="1" w:firstRow="1" w:lastColumn="0" w:lastRow="0" w:noHBand="0" w:noVBand="1" w:val="04A0"/>
      </w:tblPr>
      <w:tblGrid>
        <w:gridCol w:w="5270"/>
        <w:gridCol w:w="5270"/>
      </w:tblGrid>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Grönt</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F2F2F2"/>
          </w:tcPr>
          <w:p>
            <w:pPr>
              <w:spacing w:after="40"/>
            </w:pPr>
            <w:r>
              <w:rPr>
                <w:b/>
                <w:color w:val="000000"/>
                <w:sz w:val="17"/>
              </w:rPr>
              <w:t>Det som fungerade och ska fortsätta.</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Gult</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Det som kräver uppföljning eller riskminskning.</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Rött</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Akut/riskfyllt/fastnat - behöver beslut eller hjälp.</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Siffror</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Uppföljningar, öppna incidenter, leads, färdiga protokollpunkter.</w:t>
            </w:r>
          </w:p>
        </w:tc>
      </w:tr>
      <w:tr>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Nästa vecka</w:t>
            </w:r>
          </w:p>
        </w:tc>
        <w:tc>
          <w:tcPr>
            <w:tcW w:type="dxa" w:w="7087"/>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Topp 3 prioriteringar.</w:t>
            </w:r>
          </w:p>
        </w:tc>
      </w:tr>
    </w:tbl>
    <w:p/>
    <w:p>
      <w:pPr>
        <w:pStyle w:val="Heading1"/>
      </w:pPr>
      <w:r>
        <w:t>12. KPI-tavla</w:t>
      </w:r>
    </w:p>
    <w:tbl>
      <w:tblPr>
        <w:tblStyle w:val="TableGrid"/>
        <w:tblW w:type="auto" w:w="0"/>
        <w:jc w:val="center"/>
        <w:tblLook w:firstColumn="1" w:firstRow="1" w:lastColumn="0" w:lastRow="0" w:noHBand="0" w:noVBand="1" w:val="04A0"/>
      </w:tblPr>
      <w:tblGrid>
        <w:gridCol w:w="3513"/>
        <w:gridCol w:w="3513"/>
        <w:gridCol w:w="3513"/>
      </w:tblGrid>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KPI</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Definition</w:t>
            </w:r>
          </w:p>
        </w:tc>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Bra standard</w:t>
            </w:r>
          </w:p>
        </w:tc>
      </w:tr>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Uppföljningar i tid</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Andel planerade uppföljningar som genomförs före deadline.</w:t>
            </w:r>
          </w:p>
        </w:tc>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Minst 90 %.</w:t>
            </w:r>
          </w:p>
        </w:tc>
      </w:tr>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Öppna risker</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Gula/röda punkter utan ägare eller datum.</w:t>
            </w:r>
          </w:p>
        </w:tc>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0 utan ägare.</w:t>
            </w:r>
          </w:p>
        </w:tc>
      </w:tr>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Incidenter öppna &gt;7 dagar</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Skade-/avvikelseärenden som saknar tydlig plan.</w:t>
            </w:r>
          </w:p>
        </w:tc>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0.</w:t>
            </w:r>
          </w:p>
        </w:tc>
      </w:tr>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Pilotvärde</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Nöjdhet, svarstid och tydlighet före/efter pilot.</w:t>
            </w:r>
          </w:p>
        </w:tc>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Förbättring ska synas i minst ett mätetal.</w:t>
            </w:r>
          </w:p>
        </w:tc>
      </w:tr>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Dataskyddskoll</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Register, åtkomst och radering granskas.</w:t>
            </w:r>
          </w:p>
        </w:tc>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1 gång per månad.</w:t>
            </w:r>
          </w:p>
        </w:tc>
      </w:tr>
      <w:tr>
        <w:tc>
          <w:tcPr>
            <w:tcW w:type="dxa" w:w="226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Protokollförbättring</w:t>
            </w:r>
          </w:p>
        </w:tc>
        <w:tc>
          <w:tcPr>
            <w:tcW w:type="dxa" w:w="4762"/>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Minst en konkret förbättring i arbetssätt per vecka.</w:t>
            </w:r>
          </w:p>
        </w:tc>
        <w:tc>
          <w:tcPr>
            <w:tcW w:type="dxa" w:w="2381"/>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1 per vecka.</w:t>
            </w:r>
          </w:p>
        </w:tc>
      </w:tr>
    </w:tbl>
    <w:p/>
    <w:p>
      <w:pPr>
        <w:pStyle w:val="Heading1"/>
      </w:pPr>
      <w:r>
        <w:t>13. Implementering på 7 dagar</w:t>
      </w:r>
    </w:p>
    <w:p>
      <w:pPr>
        <w:pStyle w:val="ListNumber"/>
      </w:pPr>
      <w:r>
        <w:t>Dag 1: Lägg in alla aktuella kontakter, spelare/kunder, leads och öppna risker i dashboarden.</w:t>
      </w:r>
    </w:p>
    <w:p>
      <w:pPr>
        <w:pStyle w:val="ListNumber"/>
      </w:pPr>
      <w:r>
        <w:t>Dag 2: Bestäm vilka data som får ligga i dashboarden och vilka som måste ligga säkrare/separat.</w:t>
      </w:r>
    </w:p>
    <w:p>
      <w:pPr>
        <w:pStyle w:val="ListNumber"/>
      </w:pPr>
      <w:r>
        <w:t>Dag 3: Testa onboardingprotokollet på en ny eller befintlig kontakt.</w:t>
      </w:r>
    </w:p>
    <w:p>
      <w:pPr>
        <w:pStyle w:val="ListNumber"/>
      </w:pPr>
      <w:r>
        <w:t>Dag 4: Använd passprotokollet och skriv respons inom 24 timmar.</w:t>
      </w:r>
    </w:p>
    <w:p>
      <w:pPr>
        <w:pStyle w:val="ListNumber"/>
      </w:pPr>
      <w:r>
        <w:t>Dag 5: Gör första veckorapporten med grönt/gult/rött.</w:t>
      </w:r>
    </w:p>
    <w:p>
      <w:pPr>
        <w:pStyle w:val="ListNumber"/>
      </w:pPr>
      <w:r>
        <w:t>Dag 6: Skapa ett anonymiserat contentutkast eller partnerpitch.</w:t>
      </w:r>
    </w:p>
    <w:p>
      <w:pPr>
        <w:pStyle w:val="ListNumber"/>
      </w:pPr>
      <w:r>
        <w:t>Dag 7: Revidera ett protokoll utifrån verklig friktion. Spara ändringen som v1.1.</w:t>
      </w:r>
    </w:p>
    <w:p>
      <w:pPr>
        <w:pStyle w:val="Heading1"/>
      </w:pPr>
      <w:r>
        <w:t>14. Källor och saker att kontrollera löpande</w:t>
      </w:r>
    </w:p>
    <w:p>
      <w:r>
        <w:t>Kontrollera alltid den senaste versionen av regler, medicinska riktlinjer och dataskyddskrav innan materialet används externt.</w:t>
      </w:r>
    </w:p>
    <w:tbl>
      <w:tblPr>
        <w:tblStyle w:val="TableGrid"/>
        <w:tblW w:type="auto" w:w="0"/>
        <w:jc w:val="center"/>
        <w:tblLook w:firstColumn="1" w:firstRow="1" w:lastColumn="0" w:lastRow="0" w:noHBand="0" w:noVBand="1" w:val="04A0"/>
      </w:tblPr>
      <w:tblGrid>
        <w:gridCol w:w="3513"/>
        <w:gridCol w:w="3513"/>
        <w:gridCol w:w="3513"/>
      </w:tblGrid>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Källa</w:t>
            </w:r>
          </w:p>
        </w:tc>
        <w:tc>
          <w:tcPr>
            <w:tcW w:type="dxa" w:w="3288"/>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Användning</w:t>
            </w:r>
          </w:p>
        </w:tc>
        <w:tc>
          <w:tcPr>
            <w:tcW w:type="dxa" w:w="4195"/>
            <w:vAlign w:val="top"/>
            <w:tcMar>
              <w:top w:w="80" w:type="dxa"/>
              <w:start w:w="80" w:type="dxa"/>
              <w:bottom w:w="80" w:type="dxa"/>
              <w:end w:w="80" w:type="dxa"/>
            </w:tcMar>
            <w:tcBorders>
              <w:top w:val="single" w:sz="4" w:color="D9D9D9"/>
              <w:left w:val="single" w:sz="4" w:color="D9D9D9"/>
              <w:bottom w:val="single" w:sz="4" w:color="D9D9D9"/>
              <w:right w:val="single" w:sz="4" w:color="D9D9D9"/>
            </w:tcBorders>
            <w:shd w:fill="1F4E79"/>
          </w:tcPr>
          <w:p>
            <w:pPr>
              <w:spacing w:after="40"/>
            </w:pPr>
            <w:r>
              <w:rPr>
                <w:b/>
                <w:color w:val="FFFFFF"/>
                <w:sz w:val="17"/>
              </w:rPr>
              <w:t>URL</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GlobeIce</w:t>
            </w:r>
          </w:p>
        </w:tc>
        <w:tc>
          <w:tcPr>
            <w:tcW w:type="dxa" w:w="328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Publik positionering: global infrastruktur för ishockey.</w:t>
            </w:r>
          </w:p>
        </w:tc>
        <w:tc>
          <w:tcPr>
            <w:tcW w:type="dxa" w:w="419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https://globeice.com/</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Riksidrottsförbundet</w:t>
            </w:r>
          </w:p>
        </w:tc>
        <w:tc>
          <w:tcPr>
            <w:tcW w:type="dxa" w:w="328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Riktlinjer för barn- och ungdomsidrott.</w:t>
            </w:r>
          </w:p>
        </w:tc>
        <w:tc>
          <w:tcPr>
            <w:tcW w:type="dxa" w:w="419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https://www.rf.se/rf-arbetar-med/barn--och-ungdomsidrott/riktlinjer-for-barn--och-ungdomsidrott</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IMY</w:t>
            </w:r>
          </w:p>
        </w:tc>
        <w:tc>
          <w:tcPr>
            <w:tcW w:type="dxa" w:w="328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Vad föreningar behöver göra för att följa GDPR.</w:t>
            </w:r>
          </w:p>
        </w:tc>
        <w:tc>
          <w:tcPr>
            <w:tcW w:type="dxa" w:w="419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https://www.imy.se/verksamhet/dataskydd/dataskydd-pa-olika-omraden/forening/det-har-behover-ni-gora/</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IIHF</w:t>
            </w:r>
          </w:p>
        </w:tc>
        <w:tc>
          <w:tcPr>
            <w:tcW w:type="dxa" w:w="328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Concussion Protocol.</w:t>
            </w:r>
          </w:p>
        </w:tc>
        <w:tc>
          <w:tcPr>
            <w:tcW w:type="dxa" w:w="419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https://blob.iihf.com/iihf-media/iihfmvc/media/downloads/medical/medical-care-guide/2021-iihf-concussion-protocol.pdf</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Idrottsforskning.se</w:t>
            </w:r>
          </w:p>
        </w:tc>
        <w:tc>
          <w:tcPr>
            <w:tcW w:type="dxa" w:w="328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Hjärntrappan 2.0 - nya rekommendationer vid hjärnskakning.</w:t>
            </w:r>
          </w:p>
        </w:tc>
        <w:tc>
          <w:tcPr>
            <w:tcW w:type="dxa" w:w="419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https://www.idrottsforskning.se/nya-rekommendationer-vid-hjarnskakning-avradan-fran-total-vila-i-hjarntrappan-2-0/</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Läkartidningen</w:t>
            </w:r>
          </w:p>
        </w:tc>
        <w:tc>
          <w:tcPr>
            <w:tcW w:type="dxa" w:w="328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Handläggning av idrottsrelaterad hjärnskakning hos vuxna.</w:t>
            </w:r>
          </w:p>
        </w:tc>
        <w:tc>
          <w:tcPr>
            <w:tcW w:type="dxa" w:w="419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https://lakartidningen.se/vetenskap/handlaggning-av-idrottsrelaterad-hjarnskakning-hos-vuxna/</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Hockey Canada</w:t>
            </w:r>
          </w:p>
        </w:tc>
        <w:tc>
          <w:tcPr>
            <w:tcW w:type="dxa" w:w="328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Concussion Toolbox och safety resources.</w:t>
            </w:r>
          </w:p>
        </w:tc>
        <w:tc>
          <w:tcPr>
            <w:tcW w:type="dxa" w:w="419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https://www.hockeycanada.ca/en-ca/hockey-programs/safety/concussions/concussion-toolbox</w:t>
            </w:r>
          </w:p>
        </w:tc>
      </w:tr>
      <w:tr>
        <w:tc>
          <w:tcPr>
            <w:tcW w:type="dxa" w:w="1984"/>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Svenska Ishockeyförbundet</w:t>
            </w:r>
          </w:p>
        </w:tc>
        <w:tc>
          <w:tcPr>
            <w:tcW w:type="dxa" w:w="3288"/>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Spelregler för ishockey 2025-2026.</w:t>
            </w:r>
          </w:p>
        </w:tc>
        <w:tc>
          <w:tcPr>
            <w:tcW w:type="dxa" w:w="4195"/>
            <w:vAlign w:val="top"/>
            <w:tcMar>
              <w:top w:w="80" w:type="dxa"/>
              <w:start w:w="80" w:type="dxa"/>
              <w:bottom w:w="80" w:type="dxa"/>
              <w:end w:w="80" w:type="dxa"/>
            </w:tcMar>
            <w:tcBorders>
              <w:top w:val="single" w:sz="4" w:color="D9D9D9"/>
              <w:left w:val="single" w:sz="4" w:color="D9D9D9"/>
              <w:bottom w:val="single" w:sz="4" w:color="D9D9D9"/>
              <w:right w:val="single" w:sz="4" w:color="D9D9D9"/>
            </w:tcBorders>
          </w:tcPr>
          <w:p>
            <w:pPr>
              <w:spacing w:after="40"/>
            </w:pPr>
            <w:r>
              <w:rPr>
                <w:sz w:val="17"/>
              </w:rPr>
              <w:t>https://pdf.mediahandler.se/pdf/Spelregler_for_ishockey_2025-2026/</w:t>
            </w:r>
          </w:p>
        </w:tc>
      </w:tr>
    </w:tbl>
    <w:p/>
    <w:tbl>
      <w:tblPr>
        <w:tblW w:type="auto" w:w="0"/>
        <w:tblLook w:firstColumn="1" w:firstRow="1" w:lastColumn="0" w:lastRow="0" w:noHBand="0" w:noVBand="1" w:val="04A0"/>
      </w:tblPr>
      <w:tblGrid>
        <w:gridCol w:w="10540"/>
      </w:tblGrid>
      <w:tr>
        <w:tc>
          <w:tcPr>
            <w:tcW w:type="dxa" w:w="10540"/>
            <w:shd w:fill="D9EAF7"/>
            <w:tcMar>
              <w:top w:w="120" w:type="dxa"/>
              <w:start w:w="120" w:type="dxa"/>
              <w:bottom w:w="120" w:type="dxa"/>
              <w:end w:w="120" w:type="dxa"/>
            </w:tcMar>
            <w:tcBorders>
              <w:top w:val="single" w:sz="8" w:color="BFBFBF"/>
              <w:left w:val="single" w:sz="8" w:color="BFBFBF"/>
              <w:bottom w:val="single" w:sz="8" w:color="BFBFBF"/>
              <w:right w:val="single" w:sz="8" w:color="BFBFBF"/>
            </w:tcBorders>
          </w:tcPr>
          <w:p>
            <w:r>
              <w:rPr>
                <w:b/>
                <w:sz w:val="19"/>
              </w:rPr>
              <w:t>Nästa förbättring</w:t>
              <w:br/>
            </w:r>
            <w:r>
              <w:rPr>
                <w:sz w:val="18"/>
              </w:rPr>
              <w:t>När du har använt paketet i 1-2 veckor: markera vilka fält som faktiskt används, ta bort resten och gör dokumentet kortare. Bra protokoll ska minska friktion - inte skapa mer administration.</w:t>
            </w:r>
          </w:p>
        </w:tc>
      </w:tr>
    </w:tbl>
    <w:p/>
    <w:sectPr w:rsidR="00FC693F" w:rsidRPr="0006063C" w:rsidSect="00034616">
      <w:footerReference w:type="default" r:id="rId9"/>
      <w:pgSz w:w="12240" w:h="15840"/>
      <w:pgMar w:top="907" w:right="850" w:bottom="90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4"/>
      </w:rPr>
      <w:t>GlobeIce protokollpaket v1.0 - använd som arbetsmall, inte som medicinsk eller juridisk rådgivning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pPr>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